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7B6F4" w14:textId="60EE1218" w:rsidR="00134E83" w:rsidRDefault="00134E83">
      <w:pPr>
        <w:rPr>
          <w:b/>
          <w:sz w:val="32"/>
          <w:u w:val="single"/>
        </w:rPr>
        <w:sectPr w:rsidR="00134E83" w:rsidSect="005431ED">
          <w:footerReference w:type="default" r:id="rId8"/>
          <w:footerReference w:type="first" r:id="rId9"/>
          <w:pgSz w:w="11906" w:h="16838"/>
          <w:pgMar w:top="1440" w:right="1440" w:bottom="1440" w:left="1440" w:header="708" w:footer="708" w:gutter="0"/>
          <w:cols w:space="708"/>
          <w:docGrid w:linePitch="360"/>
        </w:sectPr>
      </w:pPr>
      <w:r w:rsidRPr="00134E83">
        <w:rPr>
          <w:b/>
          <w:noProof/>
          <w:sz w:val="32"/>
          <w:u w:val="single"/>
          <w:lang w:eastAsia="en-GB"/>
        </w:rPr>
        <w:drawing>
          <wp:anchor distT="0" distB="0" distL="114300" distR="114300" simplePos="0" relativeHeight="251663360" behindDoc="0" locked="0" layoutInCell="1" allowOverlap="1" wp14:anchorId="28390CAB" wp14:editId="0E624801">
            <wp:simplePos x="0" y="0"/>
            <wp:positionH relativeFrom="margin">
              <wp:align>left</wp:align>
            </wp:positionH>
            <wp:positionV relativeFrom="paragraph">
              <wp:posOffset>-143932</wp:posOffset>
            </wp:positionV>
            <wp:extent cx="2524125" cy="9245600"/>
            <wp:effectExtent l="0" t="0" r="9525" b="0"/>
            <wp:wrapNone/>
            <wp:docPr id="10"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0"/>
                    <a:srcRect/>
                    <a:stretch>
                      <a:fillRect/>
                    </a:stretch>
                  </pic:blipFill>
                  <pic:spPr bwMode="auto">
                    <a:xfrm>
                      <a:off x="0" y="0"/>
                      <a:ext cx="2524125" cy="9245600"/>
                    </a:xfrm>
                    <a:prstGeom prst="rect">
                      <a:avLst/>
                    </a:prstGeom>
                    <a:noFill/>
                    <a:ln w="9525">
                      <a:noFill/>
                      <a:miter lim="800000"/>
                      <a:headEnd/>
                      <a:tailEnd/>
                    </a:ln>
                  </pic:spPr>
                </pic:pic>
              </a:graphicData>
            </a:graphic>
            <wp14:sizeRelV relativeFrom="margin">
              <wp14:pctHeight>0</wp14:pctHeight>
            </wp14:sizeRelV>
          </wp:anchor>
        </w:drawing>
      </w:r>
      <w:r w:rsidRPr="00134E83">
        <w:rPr>
          <w:b/>
          <w:noProof/>
          <w:sz w:val="32"/>
          <w:u w:val="single"/>
          <w:lang w:eastAsia="en-GB"/>
        </w:rPr>
        <mc:AlternateContent>
          <mc:Choice Requires="wps">
            <w:drawing>
              <wp:anchor distT="0" distB="0" distL="114300" distR="114300" simplePos="0" relativeHeight="251664384" behindDoc="0" locked="1" layoutInCell="1" allowOverlap="1" wp14:anchorId="53DC5AA5" wp14:editId="478E3DFD">
                <wp:simplePos x="0" y="0"/>
                <wp:positionH relativeFrom="page">
                  <wp:posOffset>3481070</wp:posOffset>
                </wp:positionH>
                <wp:positionV relativeFrom="page">
                  <wp:posOffset>4477385</wp:posOffset>
                </wp:positionV>
                <wp:extent cx="3810000" cy="3982720"/>
                <wp:effectExtent l="0"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98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2C652" w14:textId="77777777" w:rsidR="00134E83" w:rsidRPr="00134E83" w:rsidRDefault="00134E83" w:rsidP="00134E83">
                            <w:pPr>
                              <w:rPr>
                                <w:b/>
                                <w:color w:val="2F5496" w:themeColor="accent1" w:themeShade="BF"/>
                                <w:sz w:val="52"/>
                              </w:rPr>
                            </w:pPr>
                            <w:r w:rsidRPr="00134E83">
                              <w:rPr>
                                <w:b/>
                                <w:color w:val="2F5496" w:themeColor="accent1" w:themeShade="BF"/>
                                <w:sz w:val="52"/>
                              </w:rPr>
                              <w:t>City-level Evaluation Guidance</w:t>
                            </w:r>
                          </w:p>
                          <w:p w14:paraId="3B8A666E" w14:textId="77777777" w:rsidR="00134E83" w:rsidRDefault="00134E83" w:rsidP="00134E83">
                            <w:pPr>
                              <w:rPr>
                                <w:b/>
                                <w:color w:val="134095"/>
                                <w:sz w:val="44"/>
                                <w:szCs w:val="44"/>
                              </w:rPr>
                            </w:pPr>
                          </w:p>
                          <w:p w14:paraId="72481B6C" w14:textId="1789BECF" w:rsidR="00134E83" w:rsidRDefault="00134E83" w:rsidP="00134E83">
                            <w:pPr>
                              <w:rPr>
                                <w:b/>
                                <w:color w:val="134095"/>
                                <w:sz w:val="44"/>
                                <w:szCs w:val="44"/>
                              </w:rPr>
                            </w:pPr>
                            <w:r>
                              <w:rPr>
                                <w:b/>
                                <w:color w:val="134095"/>
                                <w:sz w:val="44"/>
                                <w:szCs w:val="44"/>
                              </w:rPr>
                              <w:t>December 2019</w:t>
                            </w:r>
                          </w:p>
                          <w:p w14:paraId="1A69CA71" w14:textId="7E364CD4" w:rsidR="00134E83" w:rsidRDefault="00134E83" w:rsidP="00134E83">
                            <w:pPr>
                              <w:rPr>
                                <w:b/>
                                <w:color w:val="134095"/>
                                <w:sz w:val="44"/>
                                <w:szCs w:val="44"/>
                              </w:rPr>
                            </w:pPr>
                          </w:p>
                          <w:p w14:paraId="042E680A" w14:textId="035A0767" w:rsidR="00134E83" w:rsidRDefault="00134E83" w:rsidP="00134E83">
                            <w:pPr>
                              <w:rPr>
                                <w:b/>
                                <w:color w:val="134095"/>
                                <w:sz w:val="44"/>
                                <w:szCs w:val="44"/>
                              </w:rPr>
                            </w:pPr>
                          </w:p>
                          <w:p w14:paraId="2FDA9DA3" w14:textId="70DE37ED" w:rsidR="00134E83" w:rsidRDefault="00134E83" w:rsidP="00134E83">
                            <w:pPr>
                              <w:rPr>
                                <w:b/>
                                <w:color w:val="134095"/>
                                <w:sz w:val="44"/>
                                <w:szCs w:val="44"/>
                              </w:rPr>
                            </w:pPr>
                          </w:p>
                          <w:p w14:paraId="18146467" w14:textId="615C8D12" w:rsidR="00134E83" w:rsidRDefault="00134E83" w:rsidP="00134E83">
                            <w:pPr>
                              <w:rPr>
                                <w:b/>
                                <w:color w:val="134095"/>
                                <w:sz w:val="44"/>
                                <w:szCs w:val="44"/>
                              </w:rPr>
                            </w:pPr>
                          </w:p>
                          <w:p w14:paraId="369CDA95" w14:textId="77777777" w:rsidR="00134E83" w:rsidRDefault="00134E83" w:rsidP="00134E83">
                            <w:pPr>
                              <w:rPr>
                                <w:b/>
                                <w:color w:val="134095"/>
                                <w:sz w:val="44"/>
                                <w:szCs w:val="44"/>
                              </w:rPr>
                            </w:pPr>
                          </w:p>
                          <w:p w14:paraId="69E2EC8A" w14:textId="12F28DCA" w:rsidR="00134E83" w:rsidRDefault="00134E83" w:rsidP="00134E83">
                            <w:pPr>
                              <w:rPr>
                                <w:b/>
                                <w:color w:val="134095"/>
                                <w:sz w:val="44"/>
                                <w:szCs w:val="44"/>
                              </w:rPr>
                            </w:pPr>
                            <w:r>
                              <w:rPr>
                                <w:b/>
                                <w:color w:val="134095"/>
                                <w:sz w:val="44"/>
                                <w:szCs w:val="44"/>
                              </w:rPr>
                              <w:t>UNIABDN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C5AA5" id="_x0000_t202" coordsize="21600,21600" o:spt="202" path="m,l,21600r21600,l21600,xe">
                <v:stroke joinstyle="miter"/>
                <v:path gradientshapeok="t" o:connecttype="rect"/>
              </v:shapetype>
              <v:shape id="Text Box 44" o:spid="_x0000_s1026" type="#_x0000_t202" style="position:absolute;margin-left:274.1pt;margin-top:352.55pt;width:300pt;height:31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" stroked="f">
                <v:textbox>
                  <w:txbxContent>
                    <w:p w14:paraId="7FC2C652" w14:textId="77777777" w:rsidR="00134E83" w:rsidRPr="00134E83" w:rsidRDefault="00134E83" w:rsidP="00134E83">
                      <w:pPr>
                        <w:rPr>
                          <w:b/>
                          <w:color w:val="2F5496" w:themeColor="accent1" w:themeShade="BF"/>
                          <w:sz w:val="52"/>
                        </w:rPr>
                      </w:pPr>
                      <w:r w:rsidRPr="00134E83">
                        <w:rPr>
                          <w:b/>
                          <w:color w:val="2F5496" w:themeColor="accent1" w:themeShade="BF"/>
                          <w:sz w:val="52"/>
                        </w:rPr>
                        <w:t>City-level Evaluation Guidance</w:t>
                      </w:r>
                    </w:p>
                    <w:p w14:paraId="3B8A666E" w14:textId="77777777" w:rsidR="00134E83" w:rsidRDefault="00134E83" w:rsidP="00134E83">
                      <w:pPr>
                        <w:rPr>
                          <w:b/>
                          <w:color w:val="134095"/>
                          <w:sz w:val="44"/>
                          <w:szCs w:val="44"/>
                        </w:rPr>
                      </w:pPr>
                    </w:p>
                    <w:p w14:paraId="72481B6C" w14:textId="1789BECF" w:rsidR="00134E83" w:rsidRDefault="00134E83" w:rsidP="00134E83">
                      <w:pPr>
                        <w:rPr>
                          <w:b/>
                          <w:color w:val="134095"/>
                          <w:sz w:val="44"/>
                          <w:szCs w:val="44"/>
                        </w:rPr>
                      </w:pPr>
                      <w:r>
                        <w:rPr>
                          <w:b/>
                          <w:color w:val="134095"/>
                          <w:sz w:val="44"/>
                          <w:szCs w:val="44"/>
                        </w:rPr>
                        <w:t>December 2019</w:t>
                      </w:r>
                    </w:p>
                    <w:p w14:paraId="1A69CA71" w14:textId="7E364CD4" w:rsidR="00134E83" w:rsidRDefault="00134E83" w:rsidP="00134E83">
                      <w:pPr>
                        <w:rPr>
                          <w:b/>
                          <w:color w:val="134095"/>
                          <w:sz w:val="44"/>
                          <w:szCs w:val="44"/>
                        </w:rPr>
                      </w:pPr>
                    </w:p>
                    <w:p w14:paraId="042E680A" w14:textId="035A0767" w:rsidR="00134E83" w:rsidRDefault="00134E83" w:rsidP="00134E83">
                      <w:pPr>
                        <w:rPr>
                          <w:b/>
                          <w:color w:val="134095"/>
                          <w:sz w:val="44"/>
                          <w:szCs w:val="44"/>
                        </w:rPr>
                      </w:pPr>
                    </w:p>
                    <w:p w14:paraId="2FDA9DA3" w14:textId="70DE37ED" w:rsidR="00134E83" w:rsidRDefault="00134E83" w:rsidP="00134E83">
                      <w:pPr>
                        <w:rPr>
                          <w:b/>
                          <w:color w:val="134095"/>
                          <w:sz w:val="44"/>
                          <w:szCs w:val="44"/>
                        </w:rPr>
                      </w:pPr>
                    </w:p>
                    <w:p w14:paraId="18146467" w14:textId="615C8D12" w:rsidR="00134E83" w:rsidRDefault="00134E83" w:rsidP="00134E83">
                      <w:pPr>
                        <w:rPr>
                          <w:b/>
                          <w:color w:val="134095"/>
                          <w:sz w:val="44"/>
                          <w:szCs w:val="44"/>
                        </w:rPr>
                      </w:pPr>
                    </w:p>
                    <w:p w14:paraId="369CDA95" w14:textId="77777777" w:rsidR="00134E83" w:rsidRDefault="00134E83" w:rsidP="00134E83">
                      <w:pPr>
                        <w:rPr>
                          <w:b/>
                          <w:color w:val="134095"/>
                          <w:sz w:val="44"/>
                          <w:szCs w:val="44"/>
                        </w:rPr>
                      </w:pPr>
                    </w:p>
                    <w:p w14:paraId="69E2EC8A" w14:textId="12F28DCA" w:rsidR="00134E83" w:rsidRDefault="00134E83" w:rsidP="00134E83">
                      <w:pPr>
                        <w:rPr>
                          <w:b/>
                          <w:color w:val="134095"/>
                          <w:sz w:val="44"/>
                          <w:szCs w:val="44"/>
                        </w:rPr>
                      </w:pPr>
                      <w:r>
                        <w:rPr>
                          <w:b/>
                          <w:color w:val="134095"/>
                          <w:sz w:val="44"/>
                          <w:szCs w:val="44"/>
                        </w:rPr>
                        <w:t>UNIABDN</w:t>
                      </w:r>
                    </w:p>
                  </w:txbxContent>
                </v:textbox>
                <w10:wrap anchorx="page" anchory="page"/>
                <w10:anchorlock/>
              </v:shape>
            </w:pict>
          </mc:Fallback>
        </mc:AlternateContent>
      </w:r>
      <w:r w:rsidRPr="00134E83">
        <w:rPr>
          <w:b/>
          <w:noProof/>
          <w:sz w:val="32"/>
          <w:u w:val="single"/>
          <w:lang w:eastAsia="en-GB"/>
        </w:rPr>
        <w:drawing>
          <wp:anchor distT="0" distB="0" distL="114300" distR="114300" simplePos="0" relativeHeight="251665408" behindDoc="0" locked="0" layoutInCell="1" allowOverlap="1" wp14:anchorId="36ECE8C7" wp14:editId="39AAFA47">
            <wp:simplePos x="0" y="0"/>
            <wp:positionH relativeFrom="column">
              <wp:posOffset>8890</wp:posOffset>
            </wp:positionH>
            <wp:positionV relativeFrom="paragraph">
              <wp:posOffset>2378710</wp:posOffset>
            </wp:positionV>
            <wp:extent cx="6741160" cy="1114425"/>
            <wp:effectExtent l="19050" t="0" r="254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741160" cy="1114425"/>
                    </a:xfrm>
                    <a:prstGeom prst="rect">
                      <a:avLst/>
                    </a:prstGeom>
                    <a:noFill/>
                    <a:ln w="9525">
                      <a:noFill/>
                      <a:miter lim="800000"/>
                      <a:headEnd/>
                      <a:tailEnd/>
                    </a:ln>
                  </pic:spPr>
                </pic:pic>
              </a:graphicData>
            </a:graphic>
          </wp:anchor>
        </w:drawing>
      </w:r>
    </w:p>
    <w:p w14:paraId="4B55A0B2" w14:textId="042EE3D9" w:rsidR="0095135F" w:rsidRPr="00134E83" w:rsidRDefault="00FE616C" w:rsidP="00134E83">
      <w:pPr>
        <w:pStyle w:val="Heading1"/>
        <w:rPr>
          <w:b/>
          <w:sz w:val="36"/>
        </w:rPr>
      </w:pPr>
      <w:r w:rsidRPr="00134E83">
        <w:rPr>
          <w:b/>
          <w:sz w:val="36"/>
        </w:rPr>
        <w:lastRenderedPageBreak/>
        <w:t xml:space="preserve">City-level Evaluation </w:t>
      </w:r>
      <w:r w:rsidR="002E728A" w:rsidRPr="00134E83">
        <w:rPr>
          <w:b/>
          <w:sz w:val="36"/>
        </w:rPr>
        <w:t>Guidance</w:t>
      </w:r>
    </w:p>
    <w:p w14:paraId="2F02B2F1" w14:textId="77777777" w:rsidR="00FE616C" w:rsidRDefault="00FE616C"/>
    <w:p w14:paraId="15979F12" w14:textId="77777777" w:rsidR="00FE616C" w:rsidRDefault="00FE616C" w:rsidP="00FE616C">
      <w:pPr>
        <w:rPr>
          <w:i/>
          <w:color w:val="002060"/>
        </w:rPr>
      </w:pPr>
      <w:r w:rsidRPr="001F44C2">
        <w:rPr>
          <w:i/>
          <w:color w:val="002060"/>
        </w:rPr>
        <w:t>Th</w:t>
      </w:r>
      <w:r>
        <w:rPr>
          <w:i/>
          <w:color w:val="002060"/>
        </w:rPr>
        <w:t xml:space="preserve">e </w:t>
      </w:r>
      <w:r w:rsidRPr="001F44C2">
        <w:rPr>
          <w:i/>
          <w:color w:val="002060"/>
        </w:rPr>
        <w:t>city</w:t>
      </w:r>
      <w:r>
        <w:rPr>
          <w:i/>
          <w:color w:val="002060"/>
        </w:rPr>
        <w:t>-</w:t>
      </w:r>
      <w:r w:rsidRPr="001F44C2">
        <w:rPr>
          <w:i/>
          <w:color w:val="002060"/>
        </w:rPr>
        <w:t xml:space="preserve">level evaluation report keeps track of the city level indicators in line with the high level </w:t>
      </w:r>
      <w:r>
        <w:rPr>
          <w:i/>
          <w:color w:val="002060"/>
        </w:rPr>
        <w:t xml:space="preserve">overall </w:t>
      </w:r>
      <w:r w:rsidRPr="001F44C2">
        <w:rPr>
          <w:i/>
          <w:color w:val="002060"/>
        </w:rPr>
        <w:t xml:space="preserve">objectives in the PORTIS project and the </w:t>
      </w:r>
      <w:r>
        <w:rPr>
          <w:i/>
          <w:color w:val="002060"/>
        </w:rPr>
        <w:t>strategic objectives of the city</w:t>
      </w:r>
      <w:r w:rsidRPr="001F44C2">
        <w:rPr>
          <w:i/>
          <w:color w:val="002060"/>
        </w:rPr>
        <w:t xml:space="preserve">. </w:t>
      </w:r>
    </w:p>
    <w:p w14:paraId="74BE2F02" w14:textId="77777777" w:rsidR="00FE616C" w:rsidRDefault="00FE616C" w:rsidP="00FE616C">
      <w:pPr>
        <w:rPr>
          <w:i/>
          <w:color w:val="002060"/>
        </w:rPr>
      </w:pPr>
    </w:p>
    <w:p w14:paraId="3F1E45C7" w14:textId="77777777" w:rsidR="00FE616C" w:rsidRDefault="00FE616C" w:rsidP="00FE616C">
      <w:pPr>
        <w:rPr>
          <w:i/>
          <w:color w:val="002060"/>
        </w:rPr>
      </w:pPr>
      <w:r>
        <w:rPr>
          <w:i/>
          <w:color w:val="002060"/>
        </w:rPr>
        <w:t xml:space="preserve">The purpose of the city level report is to explore the extent to which the different PORTIS measures </w:t>
      </w:r>
      <w:r w:rsidRPr="001F44C2">
        <w:rPr>
          <w:i/>
          <w:color w:val="002060"/>
        </w:rPr>
        <w:t xml:space="preserve">contribute to these </w:t>
      </w:r>
      <w:r>
        <w:rPr>
          <w:i/>
          <w:color w:val="002060"/>
        </w:rPr>
        <w:t>strategic</w:t>
      </w:r>
      <w:r w:rsidRPr="001F44C2">
        <w:rPr>
          <w:i/>
          <w:color w:val="002060"/>
        </w:rPr>
        <w:t xml:space="preserve"> objectives and indicators. </w:t>
      </w:r>
    </w:p>
    <w:p w14:paraId="0767CC6C" w14:textId="77777777" w:rsidR="00FE616C" w:rsidRDefault="00FE616C" w:rsidP="00FE616C">
      <w:pPr>
        <w:rPr>
          <w:i/>
          <w:color w:val="002060"/>
        </w:rPr>
      </w:pPr>
    </w:p>
    <w:p w14:paraId="3419F8A4" w14:textId="77777777" w:rsidR="007F4CAC" w:rsidRDefault="007F4CAC" w:rsidP="00FE616C">
      <w:pPr>
        <w:rPr>
          <w:i/>
          <w:color w:val="002060"/>
        </w:rPr>
      </w:pPr>
    </w:p>
    <w:p w14:paraId="63648843" w14:textId="1614DD5F" w:rsidR="007F4CAC" w:rsidRDefault="007F4CAC" w:rsidP="00FE616C">
      <w:pPr>
        <w:rPr>
          <w:i/>
          <w:color w:val="002060"/>
        </w:rPr>
      </w:pPr>
      <w:r>
        <w:rPr>
          <w:i/>
          <w:color w:val="002060"/>
        </w:rPr>
        <w:t xml:space="preserve">There are </w:t>
      </w:r>
      <w:r w:rsidR="0088743F">
        <w:rPr>
          <w:i/>
          <w:color w:val="002060"/>
        </w:rPr>
        <w:t>f</w:t>
      </w:r>
      <w:r w:rsidR="003C23E4">
        <w:rPr>
          <w:i/>
          <w:color w:val="002060"/>
        </w:rPr>
        <w:t>ive</w:t>
      </w:r>
      <w:r w:rsidR="0088743F">
        <w:rPr>
          <w:i/>
          <w:color w:val="002060"/>
        </w:rPr>
        <w:t xml:space="preserve"> </w:t>
      </w:r>
      <w:r>
        <w:rPr>
          <w:i/>
          <w:color w:val="002060"/>
        </w:rPr>
        <w:t>components to the city-level evaluation.</w:t>
      </w:r>
    </w:p>
    <w:p w14:paraId="22CC66A1" w14:textId="77777777" w:rsidR="007F4CAC" w:rsidRDefault="007F4CAC" w:rsidP="00FE616C">
      <w:pPr>
        <w:rPr>
          <w:i/>
          <w:color w:val="002060"/>
        </w:rPr>
      </w:pPr>
    </w:p>
    <w:p w14:paraId="38D27BB9" w14:textId="30524557" w:rsidR="0088743F" w:rsidRDefault="0088743F" w:rsidP="007F4CAC">
      <w:pPr>
        <w:pStyle w:val="ListParagraph"/>
        <w:numPr>
          <w:ilvl w:val="0"/>
          <w:numId w:val="1"/>
        </w:numPr>
        <w:rPr>
          <w:i/>
          <w:color w:val="002060"/>
        </w:rPr>
      </w:pPr>
      <w:r>
        <w:rPr>
          <w:i/>
          <w:color w:val="002060"/>
        </w:rPr>
        <w:t>Understanding the city context</w:t>
      </w:r>
    </w:p>
    <w:p w14:paraId="168A04BC" w14:textId="6F089F41" w:rsidR="007F4CAC" w:rsidRDefault="007F4CAC" w:rsidP="007F4CAC">
      <w:pPr>
        <w:pStyle w:val="ListParagraph"/>
        <w:numPr>
          <w:ilvl w:val="0"/>
          <w:numId w:val="1"/>
        </w:numPr>
        <w:rPr>
          <w:i/>
          <w:color w:val="002060"/>
        </w:rPr>
      </w:pPr>
      <w:r>
        <w:rPr>
          <w:i/>
          <w:color w:val="002060"/>
        </w:rPr>
        <w:t>Collection of ‘before’ and ‘after’ data corresponding to the city level indicators. This provides the change in indicator values.</w:t>
      </w:r>
    </w:p>
    <w:p w14:paraId="47E45665" w14:textId="77777777" w:rsidR="001B5DA4" w:rsidRDefault="007F4CAC" w:rsidP="001B5DA4">
      <w:pPr>
        <w:pStyle w:val="ListParagraph"/>
        <w:numPr>
          <w:ilvl w:val="0"/>
          <w:numId w:val="1"/>
        </w:numPr>
        <w:rPr>
          <w:i/>
          <w:color w:val="002060"/>
        </w:rPr>
      </w:pPr>
      <w:r w:rsidRPr="007F4CAC">
        <w:rPr>
          <w:i/>
          <w:color w:val="002060"/>
        </w:rPr>
        <w:t xml:space="preserve">Qualitative </w:t>
      </w:r>
      <w:r w:rsidR="001B5DA4">
        <w:rPr>
          <w:i/>
          <w:color w:val="002060"/>
        </w:rPr>
        <w:t xml:space="preserve">judgement and </w:t>
      </w:r>
      <w:r>
        <w:rPr>
          <w:i/>
          <w:color w:val="002060"/>
        </w:rPr>
        <w:t>assessment of</w:t>
      </w:r>
      <w:r w:rsidRPr="007F4CAC">
        <w:rPr>
          <w:i/>
          <w:color w:val="002060"/>
        </w:rPr>
        <w:t xml:space="preserve"> the </w:t>
      </w:r>
      <w:r>
        <w:rPr>
          <w:i/>
          <w:color w:val="002060"/>
        </w:rPr>
        <w:t>trends, external factors and PORTIS measures which contribute to the change in indicator values.</w:t>
      </w:r>
    </w:p>
    <w:p w14:paraId="1DD34014" w14:textId="397D4AF9" w:rsidR="007F4CAC" w:rsidRDefault="007F4CAC" w:rsidP="001B5DA4">
      <w:pPr>
        <w:pStyle w:val="ListParagraph"/>
        <w:numPr>
          <w:ilvl w:val="0"/>
          <w:numId w:val="1"/>
        </w:numPr>
        <w:rPr>
          <w:i/>
          <w:color w:val="002060"/>
        </w:rPr>
      </w:pPr>
      <w:r w:rsidRPr="001B5DA4">
        <w:rPr>
          <w:i/>
          <w:color w:val="002060"/>
        </w:rPr>
        <w:t xml:space="preserve">Where </w:t>
      </w:r>
      <w:r w:rsidR="001B5DA4" w:rsidRPr="001B5DA4">
        <w:rPr>
          <w:i/>
          <w:color w:val="002060"/>
        </w:rPr>
        <w:t>appropriate</w:t>
      </w:r>
      <w:r w:rsidR="0088743F">
        <w:rPr>
          <w:i/>
          <w:color w:val="002060"/>
        </w:rPr>
        <w:t>,</w:t>
      </w:r>
      <w:r w:rsidR="001B5DA4" w:rsidRPr="001B5DA4">
        <w:rPr>
          <w:i/>
          <w:color w:val="002060"/>
        </w:rPr>
        <w:t xml:space="preserve"> apply the strategic level evaluation tool to better understand the relative contribution of each PORTIS measure to </w:t>
      </w:r>
      <w:r w:rsidR="0088743F">
        <w:rPr>
          <w:i/>
          <w:color w:val="002060"/>
        </w:rPr>
        <w:t xml:space="preserve">the </w:t>
      </w:r>
      <w:r w:rsidR="001B5DA4" w:rsidRPr="001B5DA4">
        <w:rPr>
          <w:i/>
          <w:color w:val="002060"/>
        </w:rPr>
        <w:t>change in indicator value.</w:t>
      </w:r>
    </w:p>
    <w:p w14:paraId="16B1F48C" w14:textId="581D88AF" w:rsidR="003C23E4" w:rsidRPr="001B5DA4" w:rsidRDefault="003C23E4" w:rsidP="001B5DA4">
      <w:pPr>
        <w:pStyle w:val="ListParagraph"/>
        <w:numPr>
          <w:ilvl w:val="0"/>
          <w:numId w:val="1"/>
        </w:numPr>
        <w:rPr>
          <w:i/>
          <w:color w:val="002060"/>
        </w:rPr>
      </w:pPr>
      <w:r>
        <w:rPr>
          <w:i/>
          <w:color w:val="002060"/>
        </w:rPr>
        <w:t>Conclusions and critical interpretation/validity of the results</w:t>
      </w:r>
    </w:p>
    <w:p w14:paraId="4C4DFB82" w14:textId="77777777" w:rsidR="001B5DA4" w:rsidRDefault="001B5DA4" w:rsidP="001B5DA4">
      <w:pPr>
        <w:pStyle w:val="ListParagraph"/>
        <w:ind w:left="1440"/>
        <w:rPr>
          <w:i/>
          <w:color w:val="002060"/>
        </w:rPr>
      </w:pPr>
    </w:p>
    <w:p w14:paraId="66B68590" w14:textId="77777777" w:rsidR="007F4CAC" w:rsidRDefault="007F4CAC" w:rsidP="007F4CAC">
      <w:pPr>
        <w:pStyle w:val="ListParagraph"/>
        <w:rPr>
          <w:i/>
          <w:color w:val="002060"/>
        </w:rPr>
      </w:pPr>
    </w:p>
    <w:p w14:paraId="032ECF44" w14:textId="77777777" w:rsidR="001B5DA4" w:rsidRDefault="001B5DA4" w:rsidP="007F4CAC">
      <w:pPr>
        <w:pStyle w:val="ListParagraph"/>
        <w:rPr>
          <w:i/>
          <w:color w:val="002060"/>
        </w:rPr>
      </w:pPr>
    </w:p>
    <w:p w14:paraId="35D21109" w14:textId="77777777" w:rsidR="001B5DA4" w:rsidRDefault="001B5DA4" w:rsidP="001B5DA4">
      <w:pPr>
        <w:pStyle w:val="Heading1"/>
        <w:numPr>
          <w:ilvl w:val="0"/>
          <w:numId w:val="3"/>
        </w:numPr>
      </w:pPr>
      <w:r>
        <w:t>Understanding the city context</w:t>
      </w:r>
    </w:p>
    <w:p w14:paraId="56E45BFD" w14:textId="77777777" w:rsidR="007741F3" w:rsidRDefault="007741F3" w:rsidP="007741F3"/>
    <w:p w14:paraId="11A9E1F6" w14:textId="77777777" w:rsidR="007741F3" w:rsidRDefault="007741F3" w:rsidP="007741F3"/>
    <w:p w14:paraId="3D4E672B" w14:textId="77777777" w:rsidR="007741F3" w:rsidRPr="00A56971" w:rsidRDefault="007741F3" w:rsidP="007741F3">
      <w:pPr>
        <w:rPr>
          <w:i/>
          <w:color w:val="002060"/>
        </w:rPr>
      </w:pPr>
      <w:r w:rsidRPr="00A56971">
        <w:rPr>
          <w:i/>
          <w:color w:val="002060"/>
        </w:rPr>
        <w:t xml:space="preserve">Background description of the city and the position of the port within the city.  Size of city, </w:t>
      </w:r>
      <w:r w:rsidR="00A56971" w:rsidRPr="00A56971">
        <w:rPr>
          <w:i/>
          <w:color w:val="002060"/>
        </w:rPr>
        <w:t xml:space="preserve">number of employees in city, </w:t>
      </w:r>
      <w:r w:rsidRPr="00A56971">
        <w:rPr>
          <w:i/>
          <w:color w:val="002060"/>
        </w:rPr>
        <w:t>tra</w:t>
      </w:r>
      <w:r w:rsidR="00A56971" w:rsidRPr="00A56971">
        <w:rPr>
          <w:i/>
          <w:color w:val="002060"/>
        </w:rPr>
        <w:t xml:space="preserve">nsport </w:t>
      </w:r>
      <w:r w:rsidRPr="00A56971">
        <w:rPr>
          <w:i/>
          <w:color w:val="002060"/>
        </w:rPr>
        <w:t>characteristics of city, size of port, number of employees</w:t>
      </w:r>
      <w:r w:rsidR="00A56971" w:rsidRPr="00A56971">
        <w:rPr>
          <w:i/>
          <w:color w:val="002060"/>
        </w:rPr>
        <w:t xml:space="preserve">, scale of road freight movements in and out of port, geographic location of port in relation to city. </w:t>
      </w:r>
      <w:r w:rsidRPr="00A56971">
        <w:rPr>
          <w:i/>
          <w:color w:val="002060"/>
        </w:rPr>
        <w:t xml:space="preserve"> </w:t>
      </w:r>
    </w:p>
    <w:p w14:paraId="03D8BD6F" w14:textId="77777777" w:rsidR="007741F3" w:rsidRDefault="007741F3" w:rsidP="007741F3"/>
    <w:p w14:paraId="2CE7F283" w14:textId="2A3D7E99" w:rsidR="007741F3" w:rsidRDefault="007741F3" w:rsidP="00A56971">
      <w:pPr>
        <w:pStyle w:val="ListParagraph"/>
        <w:numPr>
          <w:ilvl w:val="0"/>
          <w:numId w:val="7"/>
        </w:numPr>
        <w:rPr>
          <w:i/>
          <w:color w:val="C00000"/>
        </w:rPr>
      </w:pPr>
      <w:r w:rsidRPr="00A56971">
        <w:rPr>
          <w:i/>
          <w:color w:val="C00000"/>
        </w:rPr>
        <w:t xml:space="preserve">This information can be </w:t>
      </w:r>
      <w:r w:rsidR="006111CC">
        <w:rPr>
          <w:i/>
          <w:color w:val="C00000"/>
        </w:rPr>
        <w:t>extracted from e</w:t>
      </w:r>
      <w:r w:rsidRPr="00A56971">
        <w:rPr>
          <w:i/>
          <w:color w:val="C00000"/>
        </w:rPr>
        <w:t xml:space="preserve">valuation plan.  </w:t>
      </w:r>
    </w:p>
    <w:p w14:paraId="594F655A" w14:textId="77777777" w:rsidR="007741F3" w:rsidRPr="007741F3" w:rsidRDefault="007741F3" w:rsidP="007741F3"/>
    <w:p w14:paraId="77D8FC59" w14:textId="77777777" w:rsidR="001B5DA4" w:rsidRDefault="001B5DA4" w:rsidP="001B5DA4"/>
    <w:p w14:paraId="5A55D68B" w14:textId="77777777" w:rsidR="001B5DA4" w:rsidRPr="00255A25" w:rsidRDefault="001B5DA4" w:rsidP="001B5DA4">
      <w:pPr>
        <w:rPr>
          <w:i/>
          <w:color w:val="002060"/>
        </w:rPr>
      </w:pPr>
      <w:r w:rsidRPr="00255A25">
        <w:rPr>
          <w:i/>
          <w:color w:val="002060"/>
        </w:rPr>
        <w:t>What strategic planning/policy documents does the city adhere to?</w:t>
      </w:r>
    </w:p>
    <w:p w14:paraId="2A148836" w14:textId="77777777" w:rsidR="001B5DA4" w:rsidRPr="00255A25" w:rsidRDefault="001B5DA4" w:rsidP="001B5DA4">
      <w:pPr>
        <w:rPr>
          <w:i/>
          <w:color w:val="002060"/>
        </w:rPr>
      </w:pPr>
    </w:p>
    <w:p w14:paraId="70BA40CD" w14:textId="77777777" w:rsidR="007741F3" w:rsidRPr="007741F3" w:rsidRDefault="007741F3" w:rsidP="007741F3">
      <w:pPr>
        <w:pStyle w:val="ListParagraph"/>
        <w:numPr>
          <w:ilvl w:val="0"/>
          <w:numId w:val="5"/>
        </w:numPr>
        <w:rPr>
          <w:i/>
          <w:color w:val="C00000"/>
        </w:rPr>
      </w:pPr>
      <w:r>
        <w:rPr>
          <w:i/>
          <w:color w:val="C00000"/>
        </w:rPr>
        <w:t>L</w:t>
      </w:r>
      <w:r w:rsidRPr="007741F3">
        <w:rPr>
          <w:i/>
          <w:color w:val="C00000"/>
        </w:rPr>
        <w:t>ist the main or important strategic planning documents for the city relating to transport/urban mobility/urban form.</w:t>
      </w:r>
    </w:p>
    <w:p w14:paraId="3454F9BA" w14:textId="77777777" w:rsidR="007741F3" w:rsidRPr="007741F3" w:rsidRDefault="007741F3" w:rsidP="007741F3">
      <w:pPr>
        <w:ind w:firstLine="50"/>
        <w:rPr>
          <w:i/>
          <w:color w:val="C00000"/>
        </w:rPr>
      </w:pPr>
    </w:p>
    <w:p w14:paraId="3AFD14C9" w14:textId="24AE497D" w:rsidR="001B5DA4" w:rsidRPr="007741F3" w:rsidRDefault="006111CC" w:rsidP="007741F3">
      <w:pPr>
        <w:pStyle w:val="ListParagraph"/>
        <w:numPr>
          <w:ilvl w:val="0"/>
          <w:numId w:val="5"/>
        </w:numPr>
        <w:rPr>
          <w:i/>
          <w:color w:val="C00000"/>
        </w:rPr>
      </w:pPr>
      <w:r>
        <w:rPr>
          <w:i/>
          <w:color w:val="C00000"/>
        </w:rPr>
        <w:t xml:space="preserve">List any </w:t>
      </w:r>
      <w:r w:rsidR="007741F3" w:rsidRPr="007741F3">
        <w:rPr>
          <w:i/>
          <w:color w:val="C00000"/>
        </w:rPr>
        <w:t xml:space="preserve">planning documents specific to the PORT or PORT /CITY </w:t>
      </w:r>
      <w:r w:rsidR="00B3660F" w:rsidRPr="007741F3">
        <w:rPr>
          <w:i/>
          <w:color w:val="C00000"/>
        </w:rPr>
        <w:t>interaction?</w:t>
      </w:r>
      <w:r w:rsidR="007741F3" w:rsidRPr="007741F3">
        <w:rPr>
          <w:i/>
          <w:color w:val="C00000"/>
        </w:rPr>
        <w:t xml:space="preserve">   </w:t>
      </w:r>
    </w:p>
    <w:p w14:paraId="1A13300C" w14:textId="77777777" w:rsidR="00820733" w:rsidRPr="007741F3" w:rsidRDefault="00820733" w:rsidP="001B5DA4">
      <w:pPr>
        <w:rPr>
          <w:i/>
          <w:color w:val="C00000"/>
        </w:rPr>
      </w:pPr>
    </w:p>
    <w:p w14:paraId="6D270BB5" w14:textId="77777777" w:rsidR="00820733" w:rsidRDefault="00820733" w:rsidP="001B5DA4">
      <w:pPr>
        <w:rPr>
          <w:i/>
          <w:color w:val="002060"/>
        </w:rPr>
      </w:pPr>
    </w:p>
    <w:p w14:paraId="0DF9064F" w14:textId="77777777" w:rsidR="007741F3" w:rsidRDefault="001B5DA4" w:rsidP="001B5DA4">
      <w:pPr>
        <w:rPr>
          <w:i/>
          <w:color w:val="002060"/>
        </w:rPr>
      </w:pPr>
      <w:r w:rsidRPr="00255A25">
        <w:rPr>
          <w:i/>
          <w:color w:val="002060"/>
        </w:rPr>
        <w:t>What are the main strategic objectives of the city.</w:t>
      </w:r>
      <w:r w:rsidR="00EA5CA2">
        <w:rPr>
          <w:i/>
          <w:color w:val="002060"/>
        </w:rPr>
        <w:t xml:space="preserve"> </w:t>
      </w:r>
    </w:p>
    <w:p w14:paraId="2573B960" w14:textId="77777777" w:rsidR="00EA5CA2" w:rsidRDefault="00EA5CA2" w:rsidP="001B5DA4">
      <w:pPr>
        <w:rPr>
          <w:i/>
          <w:color w:val="002060"/>
        </w:rPr>
      </w:pPr>
    </w:p>
    <w:p w14:paraId="639B65F3" w14:textId="77777777" w:rsidR="007741F3" w:rsidRPr="007741F3" w:rsidRDefault="007741F3" w:rsidP="007741F3">
      <w:pPr>
        <w:pStyle w:val="ListParagraph"/>
        <w:numPr>
          <w:ilvl w:val="0"/>
          <w:numId w:val="6"/>
        </w:numPr>
        <w:rPr>
          <w:i/>
          <w:color w:val="002060"/>
        </w:rPr>
      </w:pPr>
      <w:r>
        <w:rPr>
          <w:i/>
          <w:color w:val="C00000"/>
        </w:rPr>
        <w:t>D</w:t>
      </w:r>
      <w:r w:rsidRPr="007741F3">
        <w:rPr>
          <w:i/>
          <w:color w:val="C00000"/>
        </w:rPr>
        <w:t>escribe the main strategic objectives relating to transport/urban mobility</w:t>
      </w:r>
      <w:r>
        <w:rPr>
          <w:i/>
          <w:color w:val="C00000"/>
        </w:rPr>
        <w:t xml:space="preserve"> for the city and/or port</w:t>
      </w:r>
    </w:p>
    <w:p w14:paraId="5BA2FF75" w14:textId="77777777" w:rsidR="007741F3" w:rsidRPr="007741F3" w:rsidRDefault="007741F3" w:rsidP="007741F3">
      <w:pPr>
        <w:pStyle w:val="ListParagraph"/>
        <w:rPr>
          <w:i/>
          <w:color w:val="002060"/>
        </w:rPr>
      </w:pPr>
    </w:p>
    <w:p w14:paraId="172EFFBA" w14:textId="77777777" w:rsidR="001B5DA4" w:rsidRDefault="001B5DA4" w:rsidP="001B5DA4"/>
    <w:p w14:paraId="01153C58" w14:textId="77777777" w:rsidR="007741F3" w:rsidRDefault="007741F3" w:rsidP="001B5DA4"/>
    <w:p w14:paraId="26B8B12B" w14:textId="77777777" w:rsidR="007741F3" w:rsidRDefault="007741F3" w:rsidP="001B5DA4"/>
    <w:p w14:paraId="216429A4" w14:textId="77777777" w:rsidR="00B46253" w:rsidRPr="00B46253" w:rsidRDefault="00B46253" w:rsidP="00B46253">
      <w:pPr>
        <w:pStyle w:val="Heading1"/>
        <w:numPr>
          <w:ilvl w:val="0"/>
          <w:numId w:val="3"/>
        </w:numPr>
      </w:pPr>
      <w:r>
        <w:t xml:space="preserve">Data </w:t>
      </w:r>
      <w:r w:rsidRPr="00B46253">
        <w:t>corresponding</w:t>
      </w:r>
      <w:r>
        <w:t xml:space="preserve"> to the city level indicators</w:t>
      </w:r>
    </w:p>
    <w:p w14:paraId="1A9E4079" w14:textId="77777777" w:rsidR="001B5DA4" w:rsidRDefault="001B5DA4" w:rsidP="00FE616C">
      <w:pPr>
        <w:rPr>
          <w:i/>
          <w:color w:val="002060"/>
        </w:rPr>
      </w:pPr>
    </w:p>
    <w:p w14:paraId="441C3384" w14:textId="732C1AA4" w:rsidR="00AB7E88" w:rsidRDefault="00BA3486" w:rsidP="00AB7E88">
      <w:pPr>
        <w:rPr>
          <w:i/>
          <w:color w:val="002060"/>
        </w:rPr>
      </w:pPr>
      <w:r>
        <w:rPr>
          <w:i/>
          <w:color w:val="002060"/>
        </w:rPr>
        <w:t xml:space="preserve">List </w:t>
      </w:r>
      <w:r w:rsidR="00AB7E88" w:rsidRPr="00255A25">
        <w:rPr>
          <w:i/>
          <w:color w:val="002060"/>
        </w:rPr>
        <w:t>the PORTIS project indicators and target impacts at the city level</w:t>
      </w:r>
      <w:r>
        <w:rPr>
          <w:i/>
          <w:color w:val="002060"/>
        </w:rPr>
        <w:t xml:space="preserve"> for your city</w:t>
      </w:r>
      <w:r w:rsidR="00AB7E88" w:rsidRPr="00255A25">
        <w:rPr>
          <w:i/>
          <w:color w:val="002060"/>
        </w:rPr>
        <w:t xml:space="preserve"> (</w:t>
      </w:r>
      <w:r w:rsidR="006111CC">
        <w:rPr>
          <w:i/>
          <w:color w:val="002060"/>
        </w:rPr>
        <w:t xml:space="preserve">see </w:t>
      </w:r>
      <w:r w:rsidR="00AB7E88" w:rsidRPr="00255A25">
        <w:rPr>
          <w:i/>
          <w:color w:val="002060"/>
        </w:rPr>
        <w:t xml:space="preserve">page 18/19 of </w:t>
      </w:r>
      <w:r w:rsidR="006111CC">
        <w:rPr>
          <w:i/>
          <w:color w:val="002060"/>
        </w:rPr>
        <w:t xml:space="preserve">the </w:t>
      </w:r>
      <w:r w:rsidR="00AB7E88" w:rsidRPr="00255A25">
        <w:rPr>
          <w:i/>
          <w:color w:val="002060"/>
        </w:rPr>
        <w:t>DoA)</w:t>
      </w:r>
    </w:p>
    <w:p w14:paraId="7FFCF25D" w14:textId="77777777" w:rsidR="00DF55FD" w:rsidRDefault="00DF55FD" w:rsidP="00AB7E88">
      <w:pPr>
        <w:rPr>
          <w:i/>
          <w:color w:val="002060"/>
        </w:rPr>
      </w:pPr>
    </w:p>
    <w:p w14:paraId="39084BD2" w14:textId="6ABC7DA0" w:rsidR="00BA3486" w:rsidRPr="00DF55FD" w:rsidRDefault="00DF55FD" w:rsidP="00AB7E88">
      <w:pPr>
        <w:rPr>
          <w:b/>
          <w:color w:val="002060"/>
        </w:rPr>
      </w:pPr>
      <w:r w:rsidRPr="00DF55FD">
        <w:rPr>
          <w:b/>
          <w:color w:val="002060"/>
        </w:rPr>
        <w:t>Table 1</w:t>
      </w:r>
      <w:r>
        <w:rPr>
          <w:b/>
          <w:color w:val="002060"/>
        </w:rPr>
        <w:t>:</w:t>
      </w:r>
      <w:r w:rsidRPr="00DF55FD">
        <w:rPr>
          <w:b/>
          <w:color w:val="002060"/>
        </w:rPr>
        <w:t xml:space="preserve"> PORTIS project indicators and target impacts at the city level</w:t>
      </w:r>
    </w:p>
    <w:tbl>
      <w:tblPr>
        <w:tblStyle w:val="TableGrid"/>
        <w:tblpPr w:leftFromText="180" w:rightFromText="180" w:vertAnchor="text" w:horzAnchor="margin" w:tblpY="128"/>
        <w:tblW w:w="0" w:type="auto"/>
        <w:tblLook w:val="04A0" w:firstRow="1" w:lastRow="0" w:firstColumn="1" w:lastColumn="0" w:noHBand="0" w:noVBand="1"/>
      </w:tblPr>
      <w:tblGrid>
        <w:gridCol w:w="6374"/>
        <w:gridCol w:w="2642"/>
      </w:tblGrid>
      <w:tr w:rsidR="00BA3486" w14:paraId="2F9F5E9B" w14:textId="77777777" w:rsidTr="00BA3486">
        <w:tc>
          <w:tcPr>
            <w:tcW w:w="6374" w:type="dxa"/>
          </w:tcPr>
          <w:p w14:paraId="3F96CE6A" w14:textId="77777777" w:rsidR="00BA3486" w:rsidRDefault="00BA3486" w:rsidP="00BA3486">
            <w:pPr>
              <w:pStyle w:val="Default"/>
              <w:rPr>
                <w:sz w:val="22"/>
                <w:szCs w:val="22"/>
              </w:rPr>
            </w:pPr>
            <w:r>
              <w:rPr>
                <w:sz w:val="22"/>
                <w:szCs w:val="22"/>
              </w:rPr>
              <w:t>PORTIS project indicator</w:t>
            </w:r>
          </w:p>
        </w:tc>
        <w:tc>
          <w:tcPr>
            <w:tcW w:w="2642" w:type="dxa"/>
          </w:tcPr>
          <w:p w14:paraId="17799D97" w14:textId="77777777" w:rsidR="00BA3486" w:rsidRDefault="00BA3486" w:rsidP="00BA3486">
            <w:pPr>
              <w:pStyle w:val="Default"/>
              <w:rPr>
                <w:sz w:val="22"/>
                <w:szCs w:val="22"/>
              </w:rPr>
            </w:pPr>
            <w:r>
              <w:rPr>
                <w:sz w:val="22"/>
                <w:szCs w:val="22"/>
              </w:rPr>
              <w:t>Target Impact (city level)</w:t>
            </w:r>
          </w:p>
        </w:tc>
      </w:tr>
      <w:tr w:rsidR="00BA3486" w14:paraId="6654C9B5" w14:textId="77777777" w:rsidTr="00BA3486">
        <w:tc>
          <w:tcPr>
            <w:tcW w:w="6374" w:type="dxa"/>
          </w:tcPr>
          <w:p w14:paraId="0FFD355B" w14:textId="77777777" w:rsidR="00BA3486" w:rsidRPr="00BA3486" w:rsidRDefault="00BA3486" w:rsidP="00BA3486">
            <w:pPr>
              <w:pStyle w:val="Default"/>
              <w:rPr>
                <w:rFonts w:asciiTheme="minorHAnsi" w:hAnsiTheme="minorHAnsi" w:cstheme="minorHAnsi"/>
                <w:color w:val="C00000"/>
                <w:sz w:val="22"/>
                <w:szCs w:val="22"/>
              </w:rPr>
            </w:pPr>
            <w:r w:rsidRPr="00EA5CA2">
              <w:rPr>
                <w:rFonts w:asciiTheme="minorHAnsi" w:hAnsiTheme="minorHAnsi" w:cstheme="minorHAnsi"/>
                <w:bCs/>
                <w:color w:val="C00000"/>
                <w:sz w:val="22"/>
                <w:szCs w:val="22"/>
              </w:rPr>
              <w:t xml:space="preserve">Number of port employees </w:t>
            </w:r>
          </w:p>
        </w:tc>
        <w:tc>
          <w:tcPr>
            <w:tcW w:w="2642" w:type="dxa"/>
          </w:tcPr>
          <w:p w14:paraId="7FF49DC0" w14:textId="77777777" w:rsidR="00BA3486" w:rsidRDefault="00BA3486" w:rsidP="00BA3486">
            <w:pPr>
              <w:pStyle w:val="Default"/>
              <w:rPr>
                <w:sz w:val="22"/>
                <w:szCs w:val="22"/>
              </w:rPr>
            </w:pPr>
          </w:p>
        </w:tc>
      </w:tr>
      <w:tr w:rsidR="00BA3486" w14:paraId="22086211" w14:textId="77777777" w:rsidTr="00BA3486">
        <w:tc>
          <w:tcPr>
            <w:tcW w:w="6374" w:type="dxa"/>
          </w:tcPr>
          <w:p w14:paraId="5DCB0170" w14:textId="77777777" w:rsidR="00BA3486" w:rsidRPr="00BA3486" w:rsidRDefault="00BA3486" w:rsidP="00BA3486">
            <w:pPr>
              <w:pStyle w:val="Default"/>
              <w:rPr>
                <w:rFonts w:asciiTheme="minorHAnsi" w:hAnsiTheme="minorHAnsi" w:cstheme="minorHAnsi"/>
                <w:bCs/>
                <w:color w:val="C00000"/>
                <w:sz w:val="22"/>
                <w:szCs w:val="22"/>
              </w:rPr>
            </w:pPr>
            <w:r w:rsidRPr="00EA5CA2">
              <w:rPr>
                <w:rFonts w:asciiTheme="minorHAnsi" w:hAnsiTheme="minorHAnsi" w:cstheme="minorHAnsi"/>
                <w:bCs/>
                <w:color w:val="C00000"/>
                <w:sz w:val="22"/>
                <w:szCs w:val="22"/>
              </w:rPr>
              <w:t xml:space="preserve">Number of total employment in city </w:t>
            </w:r>
          </w:p>
        </w:tc>
        <w:tc>
          <w:tcPr>
            <w:tcW w:w="2642" w:type="dxa"/>
          </w:tcPr>
          <w:p w14:paraId="500319FA" w14:textId="77777777" w:rsidR="00BA3486" w:rsidRDefault="00BA3486" w:rsidP="00BA3486">
            <w:pPr>
              <w:pStyle w:val="Default"/>
              <w:rPr>
                <w:sz w:val="22"/>
                <w:szCs w:val="22"/>
              </w:rPr>
            </w:pPr>
          </w:p>
        </w:tc>
      </w:tr>
      <w:tr w:rsidR="00BA3486" w14:paraId="27BF362C" w14:textId="77777777" w:rsidTr="00BA3486">
        <w:tc>
          <w:tcPr>
            <w:tcW w:w="6374" w:type="dxa"/>
          </w:tcPr>
          <w:p w14:paraId="36A6DC46" w14:textId="77777777" w:rsidR="00BA3486" w:rsidRPr="00BA3486" w:rsidRDefault="00BA3486" w:rsidP="00BA3486">
            <w:pPr>
              <w:pStyle w:val="Default"/>
              <w:rPr>
                <w:rFonts w:asciiTheme="minorHAnsi" w:hAnsiTheme="minorHAnsi" w:cstheme="minorHAnsi"/>
                <w:bCs/>
                <w:color w:val="C00000"/>
                <w:sz w:val="22"/>
                <w:szCs w:val="22"/>
              </w:rPr>
            </w:pPr>
            <w:r w:rsidRPr="00EA5CA2">
              <w:rPr>
                <w:rFonts w:asciiTheme="minorHAnsi" w:hAnsiTheme="minorHAnsi" w:cstheme="minorHAnsi"/>
                <w:bCs/>
                <w:color w:val="C00000"/>
                <w:sz w:val="22"/>
                <w:szCs w:val="22"/>
              </w:rPr>
              <w:t xml:space="preserve">Unemployment rate in city </w:t>
            </w:r>
          </w:p>
        </w:tc>
        <w:tc>
          <w:tcPr>
            <w:tcW w:w="2642" w:type="dxa"/>
          </w:tcPr>
          <w:p w14:paraId="3A5D48D0" w14:textId="77777777" w:rsidR="00BA3486" w:rsidRDefault="00BA3486" w:rsidP="00BA3486">
            <w:pPr>
              <w:pStyle w:val="Default"/>
              <w:rPr>
                <w:sz w:val="22"/>
                <w:szCs w:val="22"/>
              </w:rPr>
            </w:pPr>
          </w:p>
        </w:tc>
      </w:tr>
      <w:tr w:rsidR="00BA3486" w14:paraId="3A273E7C" w14:textId="77777777" w:rsidTr="00BA3486">
        <w:tc>
          <w:tcPr>
            <w:tcW w:w="6374" w:type="dxa"/>
          </w:tcPr>
          <w:p w14:paraId="6D8DEAF5" w14:textId="77777777" w:rsidR="00BA3486" w:rsidRPr="00BA3486" w:rsidRDefault="00BA3486" w:rsidP="00BA3486">
            <w:pPr>
              <w:pStyle w:val="Default"/>
              <w:rPr>
                <w:rFonts w:asciiTheme="minorHAnsi" w:hAnsiTheme="minorHAnsi" w:cstheme="minorHAnsi"/>
                <w:bCs/>
                <w:color w:val="C00000"/>
                <w:sz w:val="22"/>
                <w:szCs w:val="22"/>
              </w:rPr>
            </w:pPr>
            <w:r w:rsidRPr="00EA5CA2">
              <w:rPr>
                <w:rFonts w:asciiTheme="minorHAnsi" w:hAnsiTheme="minorHAnsi" w:cstheme="minorHAnsi"/>
                <w:bCs/>
                <w:color w:val="C00000"/>
                <w:sz w:val="22"/>
                <w:szCs w:val="22"/>
              </w:rPr>
              <w:t xml:space="preserve">Number of new jobs created thanks to docks redevelopment </w:t>
            </w:r>
          </w:p>
        </w:tc>
        <w:tc>
          <w:tcPr>
            <w:tcW w:w="2642" w:type="dxa"/>
          </w:tcPr>
          <w:p w14:paraId="787BA2F3" w14:textId="77777777" w:rsidR="00BA3486" w:rsidRDefault="00BA3486" w:rsidP="00BA3486">
            <w:pPr>
              <w:pStyle w:val="Default"/>
              <w:rPr>
                <w:sz w:val="22"/>
                <w:szCs w:val="22"/>
              </w:rPr>
            </w:pPr>
          </w:p>
        </w:tc>
      </w:tr>
      <w:tr w:rsidR="00BA3486" w14:paraId="424003AC" w14:textId="77777777" w:rsidTr="00BA3486">
        <w:tc>
          <w:tcPr>
            <w:tcW w:w="6374" w:type="dxa"/>
          </w:tcPr>
          <w:p w14:paraId="0E94FEC8" w14:textId="77777777" w:rsidR="00BA3486" w:rsidRPr="00BA3486" w:rsidRDefault="00BA3486" w:rsidP="00BA3486">
            <w:pPr>
              <w:pStyle w:val="Default"/>
              <w:rPr>
                <w:rFonts w:asciiTheme="minorHAnsi" w:hAnsiTheme="minorHAnsi" w:cstheme="minorHAnsi"/>
                <w:bCs/>
                <w:color w:val="C00000"/>
                <w:sz w:val="22"/>
                <w:szCs w:val="22"/>
              </w:rPr>
            </w:pPr>
            <w:r w:rsidRPr="00EA5CA2">
              <w:rPr>
                <w:rFonts w:asciiTheme="minorHAnsi" w:hAnsiTheme="minorHAnsi" w:cstheme="minorHAnsi"/>
                <w:bCs/>
                <w:color w:val="C00000"/>
                <w:sz w:val="22"/>
                <w:szCs w:val="22"/>
              </w:rPr>
              <w:t xml:space="preserve">Number of new businesses attracted thanks to port redevelopment </w:t>
            </w:r>
          </w:p>
        </w:tc>
        <w:tc>
          <w:tcPr>
            <w:tcW w:w="2642" w:type="dxa"/>
          </w:tcPr>
          <w:p w14:paraId="04FEE912" w14:textId="77777777" w:rsidR="00BA3486" w:rsidRDefault="00BA3486" w:rsidP="00BA3486">
            <w:pPr>
              <w:pStyle w:val="Default"/>
              <w:rPr>
                <w:sz w:val="22"/>
                <w:szCs w:val="22"/>
              </w:rPr>
            </w:pPr>
          </w:p>
        </w:tc>
      </w:tr>
      <w:tr w:rsidR="00BA3486" w14:paraId="2B1DDECF" w14:textId="77777777" w:rsidTr="00BA3486">
        <w:tc>
          <w:tcPr>
            <w:tcW w:w="6374" w:type="dxa"/>
          </w:tcPr>
          <w:p w14:paraId="2CD9B6CD" w14:textId="77777777" w:rsidR="00BA3486" w:rsidRPr="00BA3486" w:rsidRDefault="00BA3486" w:rsidP="00BA3486">
            <w:pPr>
              <w:pStyle w:val="Default"/>
              <w:rPr>
                <w:rFonts w:asciiTheme="minorHAnsi" w:hAnsiTheme="minorHAnsi" w:cstheme="minorHAnsi"/>
                <w:bCs/>
                <w:color w:val="C00000"/>
                <w:sz w:val="22"/>
                <w:szCs w:val="22"/>
              </w:rPr>
            </w:pPr>
            <w:r w:rsidRPr="00EA5CA2">
              <w:rPr>
                <w:rFonts w:asciiTheme="minorHAnsi" w:hAnsiTheme="minorHAnsi" w:cstheme="minorHAnsi"/>
                <w:bCs/>
                <w:color w:val="C00000"/>
                <w:sz w:val="22"/>
                <w:szCs w:val="22"/>
              </w:rPr>
              <w:t xml:space="preserve">Number of city-port commuters by car </w:t>
            </w:r>
          </w:p>
        </w:tc>
        <w:tc>
          <w:tcPr>
            <w:tcW w:w="2642" w:type="dxa"/>
          </w:tcPr>
          <w:p w14:paraId="37469DBB" w14:textId="77777777" w:rsidR="00BA3486" w:rsidRDefault="00BA3486" w:rsidP="00BA3486">
            <w:pPr>
              <w:pStyle w:val="Default"/>
              <w:rPr>
                <w:sz w:val="22"/>
                <w:szCs w:val="22"/>
              </w:rPr>
            </w:pPr>
          </w:p>
        </w:tc>
      </w:tr>
      <w:tr w:rsidR="00BA3486" w14:paraId="7829CC7F" w14:textId="77777777" w:rsidTr="00BA3486">
        <w:tc>
          <w:tcPr>
            <w:tcW w:w="6374" w:type="dxa"/>
          </w:tcPr>
          <w:p w14:paraId="33F976CE" w14:textId="77777777" w:rsidR="00BA3486" w:rsidRPr="00BA3486" w:rsidRDefault="00BA3486" w:rsidP="00BA3486">
            <w:pPr>
              <w:pStyle w:val="Default"/>
              <w:rPr>
                <w:rFonts w:asciiTheme="minorHAnsi" w:hAnsiTheme="minorHAnsi" w:cstheme="minorHAnsi"/>
                <w:bCs/>
                <w:color w:val="C00000"/>
                <w:sz w:val="22"/>
                <w:szCs w:val="22"/>
              </w:rPr>
            </w:pPr>
            <w:r w:rsidRPr="00EA5CA2">
              <w:rPr>
                <w:rFonts w:asciiTheme="minorHAnsi" w:hAnsiTheme="minorHAnsi" w:cstheme="minorHAnsi"/>
                <w:bCs/>
                <w:color w:val="C00000"/>
                <w:sz w:val="22"/>
                <w:szCs w:val="22"/>
              </w:rPr>
              <w:t xml:space="preserve">Commuting travel time (all modes, in minutes) </w:t>
            </w:r>
          </w:p>
        </w:tc>
        <w:tc>
          <w:tcPr>
            <w:tcW w:w="2642" w:type="dxa"/>
          </w:tcPr>
          <w:p w14:paraId="044F7AE1" w14:textId="77777777" w:rsidR="00BA3486" w:rsidRDefault="00BA3486" w:rsidP="00BA3486">
            <w:pPr>
              <w:pStyle w:val="Default"/>
              <w:rPr>
                <w:sz w:val="22"/>
                <w:szCs w:val="22"/>
              </w:rPr>
            </w:pPr>
          </w:p>
        </w:tc>
      </w:tr>
      <w:tr w:rsidR="00BA3486" w14:paraId="73FB8EDA" w14:textId="77777777" w:rsidTr="00BA3486">
        <w:tc>
          <w:tcPr>
            <w:tcW w:w="6374" w:type="dxa"/>
          </w:tcPr>
          <w:p w14:paraId="76971E44" w14:textId="77777777" w:rsidR="00BA3486" w:rsidRPr="00EA5CA2" w:rsidRDefault="00BA3486" w:rsidP="00BA3486">
            <w:pPr>
              <w:pStyle w:val="Default"/>
              <w:rPr>
                <w:rFonts w:asciiTheme="minorHAnsi" w:hAnsiTheme="minorHAnsi" w:cstheme="minorHAnsi"/>
                <w:bCs/>
                <w:color w:val="C00000"/>
                <w:sz w:val="22"/>
                <w:szCs w:val="22"/>
              </w:rPr>
            </w:pPr>
            <w:r w:rsidRPr="00EA5CA2">
              <w:rPr>
                <w:rFonts w:asciiTheme="minorHAnsi" w:hAnsiTheme="minorHAnsi" w:cstheme="minorHAnsi"/>
                <w:bCs/>
                <w:color w:val="C00000"/>
                <w:sz w:val="22"/>
                <w:szCs w:val="22"/>
              </w:rPr>
              <w:t>Modal share of PT</w:t>
            </w:r>
            <w:r>
              <w:rPr>
                <w:rFonts w:asciiTheme="minorHAnsi" w:hAnsiTheme="minorHAnsi" w:cstheme="minorHAnsi"/>
                <w:bCs/>
                <w:color w:val="C00000"/>
                <w:sz w:val="22"/>
                <w:szCs w:val="22"/>
              </w:rPr>
              <w:t xml:space="preserve"> in the city</w:t>
            </w:r>
          </w:p>
        </w:tc>
        <w:tc>
          <w:tcPr>
            <w:tcW w:w="2642" w:type="dxa"/>
          </w:tcPr>
          <w:p w14:paraId="1E7119E8" w14:textId="77777777" w:rsidR="00BA3486" w:rsidRDefault="00BA3486" w:rsidP="00BA3486">
            <w:pPr>
              <w:pStyle w:val="Default"/>
              <w:rPr>
                <w:sz w:val="22"/>
                <w:szCs w:val="22"/>
              </w:rPr>
            </w:pPr>
          </w:p>
        </w:tc>
      </w:tr>
      <w:tr w:rsidR="00BA3486" w14:paraId="185310D0" w14:textId="77777777" w:rsidTr="00BA3486">
        <w:tc>
          <w:tcPr>
            <w:tcW w:w="6374" w:type="dxa"/>
          </w:tcPr>
          <w:p w14:paraId="14A43C88" w14:textId="77777777" w:rsidR="00BA3486" w:rsidRPr="00EA5CA2" w:rsidRDefault="00BA3486" w:rsidP="00BA3486">
            <w:pPr>
              <w:pStyle w:val="Default"/>
              <w:rPr>
                <w:rFonts w:asciiTheme="minorHAnsi" w:hAnsiTheme="minorHAnsi" w:cstheme="minorHAnsi"/>
                <w:bCs/>
                <w:color w:val="C00000"/>
                <w:sz w:val="22"/>
                <w:szCs w:val="22"/>
              </w:rPr>
            </w:pPr>
            <w:r w:rsidRPr="00EA5CA2">
              <w:rPr>
                <w:rFonts w:asciiTheme="minorHAnsi" w:hAnsiTheme="minorHAnsi" w:cstheme="minorHAnsi"/>
                <w:bCs/>
                <w:color w:val="C00000"/>
                <w:sz w:val="22"/>
                <w:szCs w:val="22"/>
              </w:rPr>
              <w:t xml:space="preserve">Modal share of </w:t>
            </w:r>
            <w:r>
              <w:rPr>
                <w:rFonts w:asciiTheme="minorHAnsi" w:hAnsiTheme="minorHAnsi" w:cstheme="minorHAnsi"/>
                <w:bCs/>
                <w:color w:val="C00000"/>
                <w:sz w:val="22"/>
                <w:szCs w:val="22"/>
              </w:rPr>
              <w:t>cycling</w:t>
            </w:r>
            <w:r w:rsidRPr="00EA5CA2">
              <w:rPr>
                <w:rFonts w:asciiTheme="minorHAnsi" w:hAnsiTheme="minorHAnsi" w:cstheme="minorHAnsi"/>
                <w:bCs/>
                <w:color w:val="C00000"/>
                <w:sz w:val="22"/>
                <w:szCs w:val="22"/>
              </w:rPr>
              <w:t xml:space="preserve"> </w:t>
            </w:r>
            <w:r>
              <w:rPr>
                <w:rFonts w:asciiTheme="minorHAnsi" w:hAnsiTheme="minorHAnsi" w:cstheme="minorHAnsi"/>
                <w:bCs/>
                <w:color w:val="C00000"/>
                <w:sz w:val="22"/>
                <w:szCs w:val="22"/>
              </w:rPr>
              <w:t>in the city</w:t>
            </w:r>
          </w:p>
        </w:tc>
        <w:tc>
          <w:tcPr>
            <w:tcW w:w="2642" w:type="dxa"/>
          </w:tcPr>
          <w:p w14:paraId="7BB2E047" w14:textId="77777777" w:rsidR="00BA3486" w:rsidRDefault="00BA3486" w:rsidP="00BA3486">
            <w:pPr>
              <w:pStyle w:val="Default"/>
              <w:rPr>
                <w:sz w:val="22"/>
                <w:szCs w:val="22"/>
              </w:rPr>
            </w:pPr>
          </w:p>
        </w:tc>
      </w:tr>
      <w:tr w:rsidR="00BA3486" w14:paraId="7A9EEE08" w14:textId="77777777" w:rsidTr="00BA3486">
        <w:tc>
          <w:tcPr>
            <w:tcW w:w="6374" w:type="dxa"/>
          </w:tcPr>
          <w:p w14:paraId="45B8A958" w14:textId="77777777" w:rsidR="00BA3486" w:rsidRPr="00EA5CA2" w:rsidRDefault="00BA3486" w:rsidP="00BA3486">
            <w:pPr>
              <w:pStyle w:val="Default"/>
              <w:rPr>
                <w:rFonts w:asciiTheme="minorHAnsi" w:hAnsiTheme="minorHAnsi" w:cstheme="minorHAnsi"/>
                <w:bCs/>
                <w:color w:val="C00000"/>
                <w:sz w:val="22"/>
                <w:szCs w:val="22"/>
              </w:rPr>
            </w:pPr>
            <w:r w:rsidRPr="00EA5CA2">
              <w:rPr>
                <w:rFonts w:asciiTheme="minorHAnsi" w:hAnsiTheme="minorHAnsi" w:cstheme="minorHAnsi"/>
                <w:bCs/>
                <w:color w:val="C00000"/>
                <w:sz w:val="22"/>
                <w:szCs w:val="22"/>
              </w:rPr>
              <w:t>Modal share of walking</w:t>
            </w:r>
            <w:r>
              <w:rPr>
                <w:rFonts w:asciiTheme="minorHAnsi" w:hAnsiTheme="minorHAnsi" w:cstheme="minorHAnsi"/>
                <w:bCs/>
                <w:color w:val="C00000"/>
                <w:sz w:val="22"/>
                <w:szCs w:val="22"/>
              </w:rPr>
              <w:t xml:space="preserve"> in the city</w:t>
            </w:r>
          </w:p>
        </w:tc>
        <w:tc>
          <w:tcPr>
            <w:tcW w:w="2642" w:type="dxa"/>
          </w:tcPr>
          <w:p w14:paraId="58456E22" w14:textId="77777777" w:rsidR="00BA3486" w:rsidRDefault="00BA3486" w:rsidP="00BA3486">
            <w:pPr>
              <w:pStyle w:val="Default"/>
              <w:rPr>
                <w:sz w:val="22"/>
                <w:szCs w:val="22"/>
              </w:rPr>
            </w:pPr>
          </w:p>
        </w:tc>
      </w:tr>
    </w:tbl>
    <w:p w14:paraId="08F13113" w14:textId="77777777" w:rsidR="00EA5CA2" w:rsidRDefault="00EA5CA2" w:rsidP="00AB7E88">
      <w:pPr>
        <w:rPr>
          <w:i/>
          <w:color w:val="002060"/>
        </w:rPr>
      </w:pPr>
    </w:p>
    <w:p w14:paraId="7642176E" w14:textId="57F80FC2" w:rsidR="00EA5CA2" w:rsidRDefault="00EA5CA2" w:rsidP="00EA5CA2">
      <w:pPr>
        <w:pStyle w:val="Default"/>
        <w:rPr>
          <w:rFonts w:asciiTheme="minorHAnsi" w:hAnsiTheme="minorHAnsi" w:cstheme="minorHAnsi"/>
          <w:bCs/>
          <w:color w:val="C00000"/>
          <w:sz w:val="22"/>
          <w:szCs w:val="22"/>
        </w:rPr>
      </w:pPr>
    </w:p>
    <w:p w14:paraId="6089BC0A" w14:textId="3237B7A3" w:rsidR="00EA5CA2" w:rsidRPr="00F6430F" w:rsidRDefault="00F6430F" w:rsidP="00EA5CA2">
      <w:pPr>
        <w:pStyle w:val="Default"/>
        <w:rPr>
          <w:rFonts w:asciiTheme="minorHAnsi" w:hAnsiTheme="minorHAnsi" w:cstheme="minorHAnsi"/>
          <w:i/>
          <w:color w:val="002060"/>
          <w:sz w:val="22"/>
          <w:szCs w:val="22"/>
        </w:rPr>
      </w:pPr>
      <w:r>
        <w:rPr>
          <w:rFonts w:asciiTheme="minorHAnsi" w:hAnsiTheme="minorHAnsi" w:cstheme="minorHAnsi"/>
          <w:bCs/>
          <w:i/>
          <w:color w:val="002060"/>
          <w:sz w:val="22"/>
          <w:szCs w:val="22"/>
        </w:rPr>
        <w:t xml:space="preserve">List any </w:t>
      </w:r>
      <w:r w:rsidRPr="00F6430F">
        <w:rPr>
          <w:rFonts w:asciiTheme="minorHAnsi" w:hAnsiTheme="minorHAnsi" w:cstheme="minorHAnsi"/>
          <w:bCs/>
          <w:i/>
          <w:color w:val="002060"/>
          <w:sz w:val="22"/>
          <w:szCs w:val="22"/>
        </w:rPr>
        <w:t xml:space="preserve">additional </w:t>
      </w:r>
      <w:r>
        <w:rPr>
          <w:rFonts w:asciiTheme="minorHAnsi" w:hAnsiTheme="minorHAnsi" w:cstheme="minorHAnsi"/>
          <w:bCs/>
          <w:i/>
          <w:color w:val="002060"/>
          <w:sz w:val="22"/>
          <w:szCs w:val="22"/>
        </w:rPr>
        <w:t xml:space="preserve">important </w:t>
      </w:r>
      <w:r w:rsidRPr="00F6430F">
        <w:rPr>
          <w:rFonts w:asciiTheme="minorHAnsi" w:hAnsiTheme="minorHAnsi" w:cstheme="minorHAnsi"/>
          <w:bCs/>
          <w:i/>
          <w:color w:val="002060"/>
          <w:sz w:val="22"/>
          <w:szCs w:val="22"/>
        </w:rPr>
        <w:t>city level indicators associated with strategic city objectives</w:t>
      </w:r>
      <w:r w:rsidR="0088743F">
        <w:rPr>
          <w:rFonts w:asciiTheme="minorHAnsi" w:hAnsiTheme="minorHAnsi" w:cstheme="minorHAnsi"/>
          <w:bCs/>
          <w:i/>
          <w:color w:val="002060"/>
          <w:sz w:val="22"/>
          <w:szCs w:val="22"/>
        </w:rPr>
        <w:t xml:space="preserve"> for your city.</w:t>
      </w:r>
      <w:r w:rsidRPr="00F6430F">
        <w:rPr>
          <w:rFonts w:asciiTheme="minorHAnsi" w:hAnsiTheme="minorHAnsi" w:cstheme="minorHAnsi"/>
          <w:bCs/>
          <w:i/>
          <w:color w:val="002060"/>
          <w:sz w:val="22"/>
          <w:szCs w:val="22"/>
        </w:rPr>
        <w:t xml:space="preserve"> </w:t>
      </w:r>
    </w:p>
    <w:p w14:paraId="1EFFA6D3" w14:textId="5C2C4548" w:rsidR="00EA5CA2" w:rsidRDefault="00EA5CA2" w:rsidP="00EA5CA2">
      <w:pPr>
        <w:pStyle w:val="Default"/>
        <w:rPr>
          <w:sz w:val="22"/>
          <w:szCs w:val="22"/>
        </w:rPr>
      </w:pPr>
    </w:p>
    <w:p w14:paraId="296AB30D" w14:textId="730916DF" w:rsidR="00DF55FD" w:rsidRPr="00DF55FD" w:rsidRDefault="00DF55FD" w:rsidP="00EA5CA2">
      <w:pPr>
        <w:pStyle w:val="Default"/>
        <w:rPr>
          <w:rFonts w:asciiTheme="minorHAnsi" w:hAnsiTheme="minorHAnsi" w:cstheme="minorHAnsi"/>
          <w:b/>
          <w:color w:val="002060"/>
          <w:sz w:val="22"/>
          <w:szCs w:val="22"/>
        </w:rPr>
      </w:pPr>
      <w:r w:rsidRPr="00DF55FD">
        <w:rPr>
          <w:rFonts w:asciiTheme="minorHAnsi" w:hAnsiTheme="minorHAnsi" w:cstheme="minorHAnsi"/>
          <w:b/>
          <w:color w:val="002060"/>
          <w:sz w:val="22"/>
          <w:szCs w:val="22"/>
        </w:rPr>
        <w:t xml:space="preserve">Table 2: </w:t>
      </w:r>
      <w:r>
        <w:rPr>
          <w:rFonts w:asciiTheme="minorHAnsi" w:hAnsiTheme="minorHAnsi" w:cstheme="minorHAnsi"/>
          <w:b/>
          <w:color w:val="002060"/>
          <w:sz w:val="22"/>
          <w:szCs w:val="22"/>
        </w:rPr>
        <w:t>A</w:t>
      </w:r>
      <w:r w:rsidRPr="00DF55FD">
        <w:rPr>
          <w:rFonts w:asciiTheme="minorHAnsi" w:hAnsiTheme="minorHAnsi" w:cstheme="minorHAnsi"/>
          <w:b/>
          <w:bCs/>
          <w:color w:val="002060"/>
          <w:sz w:val="22"/>
          <w:szCs w:val="22"/>
        </w:rPr>
        <w:t xml:space="preserve">dditional </w:t>
      </w:r>
      <w:r>
        <w:rPr>
          <w:rFonts w:asciiTheme="minorHAnsi" w:hAnsiTheme="minorHAnsi" w:cstheme="minorHAnsi"/>
          <w:b/>
          <w:bCs/>
          <w:color w:val="002060"/>
          <w:sz w:val="22"/>
          <w:szCs w:val="22"/>
        </w:rPr>
        <w:t>ci</w:t>
      </w:r>
      <w:r w:rsidRPr="00DF55FD">
        <w:rPr>
          <w:rFonts w:asciiTheme="minorHAnsi" w:hAnsiTheme="minorHAnsi" w:cstheme="minorHAnsi"/>
          <w:b/>
          <w:bCs/>
          <w:color w:val="002060"/>
          <w:sz w:val="22"/>
          <w:szCs w:val="22"/>
        </w:rPr>
        <w:t>ty level indicators associated with strategic city objectives</w:t>
      </w:r>
    </w:p>
    <w:tbl>
      <w:tblPr>
        <w:tblStyle w:val="TableGrid"/>
        <w:tblpPr w:leftFromText="180" w:rightFromText="180" w:vertAnchor="text" w:horzAnchor="margin" w:tblpY="128"/>
        <w:tblW w:w="0" w:type="auto"/>
        <w:tblLook w:val="04A0" w:firstRow="1" w:lastRow="0" w:firstColumn="1" w:lastColumn="0" w:noHBand="0" w:noVBand="1"/>
      </w:tblPr>
      <w:tblGrid>
        <w:gridCol w:w="3794"/>
        <w:gridCol w:w="3438"/>
        <w:gridCol w:w="1784"/>
      </w:tblGrid>
      <w:tr w:rsidR="00BA3486" w14:paraId="2BE58245" w14:textId="77777777" w:rsidTr="006111CC">
        <w:tc>
          <w:tcPr>
            <w:tcW w:w="3794" w:type="dxa"/>
          </w:tcPr>
          <w:p w14:paraId="3B7B0C29" w14:textId="5A45A80B" w:rsidR="00BA3486" w:rsidRDefault="00BA3486" w:rsidP="0087006F">
            <w:pPr>
              <w:pStyle w:val="Default"/>
              <w:rPr>
                <w:sz w:val="22"/>
                <w:szCs w:val="22"/>
              </w:rPr>
            </w:pPr>
            <w:r>
              <w:rPr>
                <w:sz w:val="22"/>
                <w:szCs w:val="22"/>
              </w:rPr>
              <w:t>Strategic City Objective</w:t>
            </w:r>
          </w:p>
        </w:tc>
        <w:tc>
          <w:tcPr>
            <w:tcW w:w="3438" w:type="dxa"/>
          </w:tcPr>
          <w:p w14:paraId="5CC6A7FF" w14:textId="2233E23D" w:rsidR="00BA3486" w:rsidRDefault="00BA3486" w:rsidP="0087006F">
            <w:pPr>
              <w:pStyle w:val="Default"/>
              <w:rPr>
                <w:sz w:val="22"/>
                <w:szCs w:val="22"/>
              </w:rPr>
            </w:pPr>
            <w:r>
              <w:rPr>
                <w:sz w:val="22"/>
                <w:szCs w:val="22"/>
              </w:rPr>
              <w:t>Additional city level indicator</w:t>
            </w:r>
          </w:p>
        </w:tc>
        <w:tc>
          <w:tcPr>
            <w:tcW w:w="1784" w:type="dxa"/>
          </w:tcPr>
          <w:p w14:paraId="4C27BF5F" w14:textId="77777777" w:rsidR="00BA3486" w:rsidRDefault="00BA3486" w:rsidP="0087006F">
            <w:pPr>
              <w:pStyle w:val="Default"/>
              <w:rPr>
                <w:sz w:val="22"/>
                <w:szCs w:val="22"/>
              </w:rPr>
            </w:pPr>
            <w:r>
              <w:rPr>
                <w:sz w:val="22"/>
                <w:szCs w:val="22"/>
              </w:rPr>
              <w:t>Target Impact (city level)</w:t>
            </w:r>
          </w:p>
        </w:tc>
      </w:tr>
      <w:tr w:rsidR="00BA3486" w14:paraId="3E1E327D" w14:textId="77777777" w:rsidTr="006111CC">
        <w:tc>
          <w:tcPr>
            <w:tcW w:w="3794" w:type="dxa"/>
          </w:tcPr>
          <w:p w14:paraId="42BD0A26" w14:textId="77777777" w:rsidR="00BA3486" w:rsidRPr="00BA3486" w:rsidRDefault="00BA3486" w:rsidP="0087006F">
            <w:pPr>
              <w:pStyle w:val="Default"/>
              <w:rPr>
                <w:rFonts w:asciiTheme="minorHAnsi" w:hAnsiTheme="minorHAnsi" w:cstheme="minorHAnsi"/>
                <w:color w:val="C00000"/>
                <w:sz w:val="22"/>
                <w:szCs w:val="22"/>
              </w:rPr>
            </w:pPr>
          </w:p>
        </w:tc>
        <w:tc>
          <w:tcPr>
            <w:tcW w:w="3438" w:type="dxa"/>
          </w:tcPr>
          <w:p w14:paraId="1EC353FB" w14:textId="7A8E5E1A" w:rsidR="00BA3486" w:rsidRPr="00BA3486" w:rsidRDefault="00BA3486" w:rsidP="0087006F">
            <w:pPr>
              <w:pStyle w:val="Default"/>
              <w:rPr>
                <w:rFonts w:asciiTheme="minorHAnsi" w:hAnsiTheme="minorHAnsi" w:cstheme="minorHAnsi"/>
                <w:color w:val="C00000"/>
                <w:sz w:val="22"/>
                <w:szCs w:val="22"/>
              </w:rPr>
            </w:pPr>
          </w:p>
        </w:tc>
        <w:tc>
          <w:tcPr>
            <w:tcW w:w="1784" w:type="dxa"/>
          </w:tcPr>
          <w:p w14:paraId="46797F87" w14:textId="77777777" w:rsidR="00BA3486" w:rsidRDefault="00BA3486" w:rsidP="0087006F">
            <w:pPr>
              <w:pStyle w:val="Default"/>
              <w:rPr>
                <w:sz w:val="22"/>
                <w:szCs w:val="22"/>
              </w:rPr>
            </w:pPr>
          </w:p>
        </w:tc>
      </w:tr>
      <w:tr w:rsidR="00BA3486" w14:paraId="623C546A" w14:textId="77777777" w:rsidTr="006111CC">
        <w:tc>
          <w:tcPr>
            <w:tcW w:w="3794" w:type="dxa"/>
          </w:tcPr>
          <w:p w14:paraId="1F38DA45" w14:textId="77777777" w:rsidR="00BA3486" w:rsidRPr="00BA3486" w:rsidRDefault="00BA3486" w:rsidP="0087006F">
            <w:pPr>
              <w:pStyle w:val="Default"/>
              <w:rPr>
                <w:rFonts w:asciiTheme="minorHAnsi" w:hAnsiTheme="minorHAnsi" w:cstheme="minorHAnsi"/>
                <w:bCs/>
                <w:color w:val="C00000"/>
                <w:sz w:val="22"/>
                <w:szCs w:val="22"/>
              </w:rPr>
            </w:pPr>
          </w:p>
        </w:tc>
        <w:tc>
          <w:tcPr>
            <w:tcW w:w="3438" w:type="dxa"/>
          </w:tcPr>
          <w:p w14:paraId="2783B416" w14:textId="693B33A3" w:rsidR="00BA3486" w:rsidRPr="00BA3486" w:rsidRDefault="00BA3486" w:rsidP="0087006F">
            <w:pPr>
              <w:pStyle w:val="Default"/>
              <w:rPr>
                <w:rFonts w:asciiTheme="minorHAnsi" w:hAnsiTheme="minorHAnsi" w:cstheme="minorHAnsi"/>
                <w:bCs/>
                <w:color w:val="C00000"/>
                <w:sz w:val="22"/>
                <w:szCs w:val="22"/>
              </w:rPr>
            </w:pPr>
          </w:p>
        </w:tc>
        <w:tc>
          <w:tcPr>
            <w:tcW w:w="1784" w:type="dxa"/>
          </w:tcPr>
          <w:p w14:paraId="02A07F32" w14:textId="77777777" w:rsidR="00BA3486" w:rsidRDefault="00BA3486" w:rsidP="0087006F">
            <w:pPr>
              <w:pStyle w:val="Default"/>
              <w:rPr>
                <w:sz w:val="22"/>
                <w:szCs w:val="22"/>
              </w:rPr>
            </w:pPr>
          </w:p>
        </w:tc>
      </w:tr>
      <w:tr w:rsidR="00BA3486" w14:paraId="50348A7E" w14:textId="77777777" w:rsidTr="006111CC">
        <w:tc>
          <w:tcPr>
            <w:tcW w:w="3794" w:type="dxa"/>
          </w:tcPr>
          <w:p w14:paraId="02D6180C" w14:textId="77777777" w:rsidR="00BA3486" w:rsidRPr="00BA3486" w:rsidRDefault="00BA3486" w:rsidP="0087006F">
            <w:pPr>
              <w:pStyle w:val="Default"/>
              <w:rPr>
                <w:rFonts w:asciiTheme="minorHAnsi" w:hAnsiTheme="minorHAnsi" w:cstheme="minorHAnsi"/>
                <w:bCs/>
                <w:color w:val="C00000"/>
                <w:sz w:val="22"/>
                <w:szCs w:val="22"/>
              </w:rPr>
            </w:pPr>
          </w:p>
        </w:tc>
        <w:tc>
          <w:tcPr>
            <w:tcW w:w="3438" w:type="dxa"/>
          </w:tcPr>
          <w:p w14:paraId="3F7F49A4" w14:textId="631A4BAD" w:rsidR="00BA3486" w:rsidRPr="00BA3486" w:rsidRDefault="00BA3486" w:rsidP="0087006F">
            <w:pPr>
              <w:pStyle w:val="Default"/>
              <w:rPr>
                <w:rFonts w:asciiTheme="minorHAnsi" w:hAnsiTheme="minorHAnsi" w:cstheme="minorHAnsi"/>
                <w:bCs/>
                <w:color w:val="C00000"/>
                <w:sz w:val="22"/>
                <w:szCs w:val="22"/>
              </w:rPr>
            </w:pPr>
          </w:p>
        </w:tc>
        <w:tc>
          <w:tcPr>
            <w:tcW w:w="1784" w:type="dxa"/>
          </w:tcPr>
          <w:p w14:paraId="1138EEF9" w14:textId="77777777" w:rsidR="00BA3486" w:rsidRDefault="00BA3486" w:rsidP="0087006F">
            <w:pPr>
              <w:pStyle w:val="Default"/>
              <w:rPr>
                <w:sz w:val="22"/>
                <w:szCs w:val="22"/>
              </w:rPr>
            </w:pPr>
          </w:p>
        </w:tc>
      </w:tr>
      <w:tr w:rsidR="00BA3486" w14:paraId="73549214" w14:textId="77777777" w:rsidTr="006111CC">
        <w:tc>
          <w:tcPr>
            <w:tcW w:w="3794" w:type="dxa"/>
          </w:tcPr>
          <w:p w14:paraId="49C54B47" w14:textId="77777777" w:rsidR="00BA3486" w:rsidRPr="00BA3486" w:rsidRDefault="00BA3486" w:rsidP="0087006F">
            <w:pPr>
              <w:pStyle w:val="Default"/>
              <w:rPr>
                <w:rFonts w:asciiTheme="minorHAnsi" w:hAnsiTheme="minorHAnsi" w:cstheme="minorHAnsi"/>
                <w:bCs/>
                <w:color w:val="C00000"/>
                <w:sz w:val="22"/>
                <w:szCs w:val="22"/>
              </w:rPr>
            </w:pPr>
          </w:p>
        </w:tc>
        <w:tc>
          <w:tcPr>
            <w:tcW w:w="3438" w:type="dxa"/>
          </w:tcPr>
          <w:p w14:paraId="0AB1DAEB" w14:textId="6A6542EC" w:rsidR="00BA3486" w:rsidRPr="00BA3486" w:rsidRDefault="00BA3486" w:rsidP="0087006F">
            <w:pPr>
              <w:pStyle w:val="Default"/>
              <w:rPr>
                <w:rFonts w:asciiTheme="minorHAnsi" w:hAnsiTheme="minorHAnsi" w:cstheme="minorHAnsi"/>
                <w:bCs/>
                <w:color w:val="C00000"/>
                <w:sz w:val="22"/>
                <w:szCs w:val="22"/>
              </w:rPr>
            </w:pPr>
          </w:p>
        </w:tc>
        <w:tc>
          <w:tcPr>
            <w:tcW w:w="1784" w:type="dxa"/>
          </w:tcPr>
          <w:p w14:paraId="6428265C" w14:textId="77777777" w:rsidR="00BA3486" w:rsidRDefault="00BA3486" w:rsidP="0087006F">
            <w:pPr>
              <w:pStyle w:val="Default"/>
              <w:rPr>
                <w:sz w:val="22"/>
                <w:szCs w:val="22"/>
              </w:rPr>
            </w:pPr>
          </w:p>
        </w:tc>
      </w:tr>
      <w:tr w:rsidR="00BA3486" w14:paraId="321A02B9" w14:textId="77777777" w:rsidTr="006111CC">
        <w:tc>
          <w:tcPr>
            <w:tcW w:w="3794" w:type="dxa"/>
          </w:tcPr>
          <w:p w14:paraId="76B95915" w14:textId="77777777" w:rsidR="00BA3486" w:rsidRPr="00BA3486" w:rsidRDefault="00BA3486" w:rsidP="0087006F">
            <w:pPr>
              <w:pStyle w:val="Default"/>
              <w:rPr>
                <w:rFonts w:asciiTheme="minorHAnsi" w:hAnsiTheme="minorHAnsi" w:cstheme="minorHAnsi"/>
                <w:bCs/>
                <w:color w:val="C00000"/>
                <w:sz w:val="22"/>
                <w:szCs w:val="22"/>
              </w:rPr>
            </w:pPr>
          </w:p>
        </w:tc>
        <w:tc>
          <w:tcPr>
            <w:tcW w:w="3438" w:type="dxa"/>
          </w:tcPr>
          <w:p w14:paraId="0E74F05F" w14:textId="30E5B0B8" w:rsidR="00BA3486" w:rsidRPr="00BA3486" w:rsidRDefault="00BA3486" w:rsidP="0087006F">
            <w:pPr>
              <w:pStyle w:val="Default"/>
              <w:rPr>
                <w:rFonts w:asciiTheme="minorHAnsi" w:hAnsiTheme="minorHAnsi" w:cstheme="minorHAnsi"/>
                <w:bCs/>
                <w:color w:val="C00000"/>
                <w:sz w:val="22"/>
                <w:szCs w:val="22"/>
              </w:rPr>
            </w:pPr>
          </w:p>
        </w:tc>
        <w:tc>
          <w:tcPr>
            <w:tcW w:w="1784" w:type="dxa"/>
          </w:tcPr>
          <w:p w14:paraId="37361D97" w14:textId="77777777" w:rsidR="00BA3486" w:rsidRDefault="00BA3486" w:rsidP="0087006F">
            <w:pPr>
              <w:pStyle w:val="Default"/>
              <w:rPr>
                <w:sz w:val="22"/>
                <w:szCs w:val="22"/>
              </w:rPr>
            </w:pPr>
          </w:p>
        </w:tc>
      </w:tr>
      <w:tr w:rsidR="00BA3486" w14:paraId="5C684B70" w14:textId="77777777" w:rsidTr="006111CC">
        <w:tc>
          <w:tcPr>
            <w:tcW w:w="3794" w:type="dxa"/>
          </w:tcPr>
          <w:p w14:paraId="4B28AAAD" w14:textId="77777777" w:rsidR="00BA3486" w:rsidRPr="00BA3486" w:rsidRDefault="00BA3486" w:rsidP="0087006F">
            <w:pPr>
              <w:pStyle w:val="Default"/>
              <w:rPr>
                <w:rFonts w:asciiTheme="minorHAnsi" w:hAnsiTheme="minorHAnsi" w:cstheme="minorHAnsi"/>
                <w:bCs/>
                <w:color w:val="C00000"/>
                <w:sz w:val="22"/>
                <w:szCs w:val="22"/>
              </w:rPr>
            </w:pPr>
          </w:p>
        </w:tc>
        <w:tc>
          <w:tcPr>
            <w:tcW w:w="3438" w:type="dxa"/>
          </w:tcPr>
          <w:p w14:paraId="2AE73705" w14:textId="3F9B7D74" w:rsidR="00BA3486" w:rsidRPr="00BA3486" w:rsidRDefault="00BA3486" w:rsidP="0087006F">
            <w:pPr>
              <w:pStyle w:val="Default"/>
              <w:rPr>
                <w:rFonts w:asciiTheme="minorHAnsi" w:hAnsiTheme="minorHAnsi" w:cstheme="minorHAnsi"/>
                <w:bCs/>
                <w:color w:val="C00000"/>
                <w:sz w:val="22"/>
                <w:szCs w:val="22"/>
              </w:rPr>
            </w:pPr>
          </w:p>
        </w:tc>
        <w:tc>
          <w:tcPr>
            <w:tcW w:w="1784" w:type="dxa"/>
          </w:tcPr>
          <w:p w14:paraId="03367D0F" w14:textId="77777777" w:rsidR="00BA3486" w:rsidRDefault="00BA3486" w:rsidP="0087006F">
            <w:pPr>
              <w:pStyle w:val="Default"/>
              <w:rPr>
                <w:sz w:val="22"/>
                <w:szCs w:val="22"/>
              </w:rPr>
            </w:pPr>
          </w:p>
        </w:tc>
      </w:tr>
      <w:tr w:rsidR="00BA3486" w14:paraId="3A3CBAEB" w14:textId="77777777" w:rsidTr="006111CC">
        <w:tc>
          <w:tcPr>
            <w:tcW w:w="3794" w:type="dxa"/>
          </w:tcPr>
          <w:p w14:paraId="15B7D4A4" w14:textId="77777777" w:rsidR="00BA3486" w:rsidRPr="00BA3486" w:rsidRDefault="00BA3486" w:rsidP="0087006F">
            <w:pPr>
              <w:pStyle w:val="Default"/>
              <w:rPr>
                <w:rFonts w:asciiTheme="minorHAnsi" w:hAnsiTheme="minorHAnsi" w:cstheme="minorHAnsi"/>
                <w:bCs/>
                <w:color w:val="C00000"/>
                <w:sz w:val="22"/>
                <w:szCs w:val="22"/>
              </w:rPr>
            </w:pPr>
          </w:p>
        </w:tc>
        <w:tc>
          <w:tcPr>
            <w:tcW w:w="3438" w:type="dxa"/>
          </w:tcPr>
          <w:p w14:paraId="2823013A" w14:textId="72287906" w:rsidR="00BA3486" w:rsidRPr="00BA3486" w:rsidRDefault="00BA3486" w:rsidP="0087006F">
            <w:pPr>
              <w:pStyle w:val="Default"/>
              <w:rPr>
                <w:rFonts w:asciiTheme="minorHAnsi" w:hAnsiTheme="minorHAnsi" w:cstheme="minorHAnsi"/>
                <w:bCs/>
                <w:color w:val="C00000"/>
                <w:sz w:val="22"/>
                <w:szCs w:val="22"/>
              </w:rPr>
            </w:pPr>
          </w:p>
        </w:tc>
        <w:tc>
          <w:tcPr>
            <w:tcW w:w="1784" w:type="dxa"/>
          </w:tcPr>
          <w:p w14:paraId="61F2CA03" w14:textId="77777777" w:rsidR="00BA3486" w:rsidRDefault="00BA3486" w:rsidP="0087006F">
            <w:pPr>
              <w:pStyle w:val="Default"/>
              <w:rPr>
                <w:sz w:val="22"/>
                <w:szCs w:val="22"/>
              </w:rPr>
            </w:pPr>
          </w:p>
        </w:tc>
      </w:tr>
      <w:tr w:rsidR="00BA3486" w14:paraId="477391AD" w14:textId="77777777" w:rsidTr="006111CC">
        <w:tc>
          <w:tcPr>
            <w:tcW w:w="3794" w:type="dxa"/>
          </w:tcPr>
          <w:p w14:paraId="563ADC43" w14:textId="77777777" w:rsidR="00BA3486" w:rsidRPr="00BA3486" w:rsidRDefault="00BA3486" w:rsidP="0087006F">
            <w:pPr>
              <w:pStyle w:val="Default"/>
              <w:rPr>
                <w:rFonts w:asciiTheme="minorHAnsi" w:hAnsiTheme="minorHAnsi" w:cstheme="minorHAnsi"/>
                <w:bCs/>
                <w:color w:val="C00000"/>
                <w:sz w:val="22"/>
                <w:szCs w:val="22"/>
              </w:rPr>
            </w:pPr>
          </w:p>
        </w:tc>
        <w:tc>
          <w:tcPr>
            <w:tcW w:w="3438" w:type="dxa"/>
          </w:tcPr>
          <w:p w14:paraId="2B20E862" w14:textId="77777777" w:rsidR="00BA3486" w:rsidRPr="00BA3486" w:rsidRDefault="00BA3486" w:rsidP="0087006F">
            <w:pPr>
              <w:pStyle w:val="Default"/>
              <w:rPr>
                <w:rFonts w:asciiTheme="minorHAnsi" w:hAnsiTheme="minorHAnsi" w:cstheme="minorHAnsi"/>
                <w:bCs/>
                <w:color w:val="C00000"/>
                <w:sz w:val="22"/>
                <w:szCs w:val="22"/>
              </w:rPr>
            </w:pPr>
          </w:p>
        </w:tc>
        <w:tc>
          <w:tcPr>
            <w:tcW w:w="1784" w:type="dxa"/>
          </w:tcPr>
          <w:p w14:paraId="287FBC9D" w14:textId="77777777" w:rsidR="00BA3486" w:rsidRDefault="00BA3486" w:rsidP="0087006F">
            <w:pPr>
              <w:pStyle w:val="Default"/>
              <w:rPr>
                <w:sz w:val="22"/>
                <w:szCs w:val="22"/>
              </w:rPr>
            </w:pPr>
          </w:p>
        </w:tc>
      </w:tr>
      <w:tr w:rsidR="00BA3486" w14:paraId="26412EA1" w14:textId="77777777" w:rsidTr="006111CC">
        <w:tc>
          <w:tcPr>
            <w:tcW w:w="3794" w:type="dxa"/>
          </w:tcPr>
          <w:p w14:paraId="37A86DFE" w14:textId="77777777" w:rsidR="00BA3486" w:rsidRPr="00BA3486" w:rsidRDefault="00BA3486" w:rsidP="0087006F">
            <w:pPr>
              <w:pStyle w:val="Default"/>
              <w:rPr>
                <w:rFonts w:asciiTheme="minorHAnsi" w:hAnsiTheme="minorHAnsi" w:cstheme="minorHAnsi"/>
                <w:bCs/>
                <w:color w:val="C00000"/>
                <w:sz w:val="22"/>
                <w:szCs w:val="22"/>
              </w:rPr>
            </w:pPr>
          </w:p>
        </w:tc>
        <w:tc>
          <w:tcPr>
            <w:tcW w:w="3438" w:type="dxa"/>
          </w:tcPr>
          <w:p w14:paraId="53908270" w14:textId="77777777" w:rsidR="00BA3486" w:rsidRPr="00BA3486" w:rsidRDefault="00BA3486" w:rsidP="0087006F">
            <w:pPr>
              <w:pStyle w:val="Default"/>
              <w:rPr>
                <w:rFonts w:asciiTheme="minorHAnsi" w:hAnsiTheme="minorHAnsi" w:cstheme="minorHAnsi"/>
                <w:bCs/>
                <w:color w:val="C00000"/>
                <w:sz w:val="22"/>
                <w:szCs w:val="22"/>
              </w:rPr>
            </w:pPr>
          </w:p>
        </w:tc>
        <w:tc>
          <w:tcPr>
            <w:tcW w:w="1784" w:type="dxa"/>
          </w:tcPr>
          <w:p w14:paraId="69E8E25E" w14:textId="77777777" w:rsidR="00BA3486" w:rsidRDefault="00BA3486" w:rsidP="0087006F">
            <w:pPr>
              <w:pStyle w:val="Default"/>
              <w:rPr>
                <w:sz w:val="22"/>
                <w:szCs w:val="22"/>
              </w:rPr>
            </w:pPr>
          </w:p>
        </w:tc>
      </w:tr>
      <w:tr w:rsidR="00BA3486" w14:paraId="25CDA4C4" w14:textId="77777777" w:rsidTr="006111CC">
        <w:tc>
          <w:tcPr>
            <w:tcW w:w="3794" w:type="dxa"/>
          </w:tcPr>
          <w:p w14:paraId="2DA6A158" w14:textId="77777777" w:rsidR="00BA3486" w:rsidRPr="00BA3486" w:rsidRDefault="00BA3486" w:rsidP="0087006F">
            <w:pPr>
              <w:pStyle w:val="Default"/>
              <w:rPr>
                <w:rFonts w:asciiTheme="minorHAnsi" w:hAnsiTheme="minorHAnsi" w:cstheme="minorHAnsi"/>
                <w:bCs/>
                <w:color w:val="C00000"/>
                <w:sz w:val="22"/>
                <w:szCs w:val="22"/>
              </w:rPr>
            </w:pPr>
          </w:p>
        </w:tc>
        <w:tc>
          <w:tcPr>
            <w:tcW w:w="3438" w:type="dxa"/>
          </w:tcPr>
          <w:p w14:paraId="6C88720D" w14:textId="77777777" w:rsidR="00BA3486" w:rsidRPr="00BA3486" w:rsidRDefault="00BA3486" w:rsidP="0087006F">
            <w:pPr>
              <w:pStyle w:val="Default"/>
              <w:rPr>
                <w:rFonts w:asciiTheme="minorHAnsi" w:hAnsiTheme="minorHAnsi" w:cstheme="minorHAnsi"/>
                <w:bCs/>
                <w:color w:val="C00000"/>
                <w:sz w:val="22"/>
                <w:szCs w:val="22"/>
              </w:rPr>
            </w:pPr>
          </w:p>
        </w:tc>
        <w:tc>
          <w:tcPr>
            <w:tcW w:w="1784" w:type="dxa"/>
          </w:tcPr>
          <w:p w14:paraId="498C48B2" w14:textId="77777777" w:rsidR="00BA3486" w:rsidRDefault="00BA3486" w:rsidP="0087006F">
            <w:pPr>
              <w:pStyle w:val="Default"/>
              <w:rPr>
                <w:sz w:val="22"/>
                <w:szCs w:val="22"/>
              </w:rPr>
            </w:pPr>
          </w:p>
        </w:tc>
      </w:tr>
    </w:tbl>
    <w:p w14:paraId="7CF23FE8" w14:textId="77777777" w:rsidR="00EA5CA2" w:rsidRDefault="00EA5CA2" w:rsidP="00EA5CA2">
      <w:pPr>
        <w:pStyle w:val="Default"/>
        <w:rPr>
          <w:sz w:val="22"/>
          <w:szCs w:val="22"/>
        </w:rPr>
      </w:pPr>
    </w:p>
    <w:p w14:paraId="748AA29C" w14:textId="500BE8F0" w:rsidR="00AB7E88" w:rsidRDefault="00AB7E88" w:rsidP="00FE616C">
      <w:pPr>
        <w:rPr>
          <w:i/>
          <w:color w:val="002060"/>
        </w:rPr>
      </w:pPr>
    </w:p>
    <w:p w14:paraId="058D3A47" w14:textId="133EA2C6" w:rsidR="001B5DA4" w:rsidRDefault="00B46253" w:rsidP="00BA3486">
      <w:pPr>
        <w:spacing w:after="160" w:line="259" w:lineRule="auto"/>
        <w:rPr>
          <w:i/>
          <w:color w:val="002060"/>
        </w:rPr>
      </w:pPr>
      <w:r w:rsidRPr="00255A25">
        <w:rPr>
          <w:i/>
          <w:color w:val="002060"/>
        </w:rPr>
        <w:t xml:space="preserve">For each city level indicator describe the data collected ‘before’ PORTIS </w:t>
      </w:r>
      <w:r w:rsidR="00F6430F">
        <w:rPr>
          <w:i/>
          <w:color w:val="002060"/>
        </w:rPr>
        <w:t>a</w:t>
      </w:r>
      <w:r w:rsidRPr="00255A25">
        <w:rPr>
          <w:i/>
          <w:color w:val="002060"/>
        </w:rPr>
        <w:t>nd ‘after’ PORTIS</w:t>
      </w:r>
      <w:r w:rsidR="00DF55FD">
        <w:rPr>
          <w:i/>
          <w:color w:val="002060"/>
        </w:rPr>
        <w:t xml:space="preserve"> in Table </w:t>
      </w:r>
      <w:r w:rsidR="0085750E">
        <w:rPr>
          <w:i/>
          <w:color w:val="002060"/>
        </w:rPr>
        <w:t>3</w:t>
      </w:r>
      <w:r w:rsidRPr="00255A25">
        <w:rPr>
          <w:i/>
          <w:color w:val="002060"/>
        </w:rPr>
        <w:t xml:space="preserve">.  </w:t>
      </w:r>
    </w:p>
    <w:p w14:paraId="359249EA" w14:textId="06A27724" w:rsidR="001B5DA4" w:rsidRPr="00255A25" w:rsidRDefault="0085750E" w:rsidP="00DF55FD">
      <w:pPr>
        <w:rPr>
          <w:i/>
          <w:color w:val="002060"/>
        </w:rPr>
      </w:pPr>
      <w:r>
        <w:rPr>
          <w:i/>
          <w:color w:val="002060"/>
        </w:rPr>
        <w:t>In Table 4, f</w:t>
      </w:r>
      <w:r w:rsidR="00C7719F">
        <w:rPr>
          <w:i/>
          <w:color w:val="002060"/>
        </w:rPr>
        <w:t xml:space="preserve">or each indicator indicate the date and method of data collection and provide a comment on the </w:t>
      </w:r>
      <w:r w:rsidR="00B46253" w:rsidRPr="00255A25">
        <w:rPr>
          <w:i/>
          <w:color w:val="002060"/>
        </w:rPr>
        <w:t>quality/completeness of the data</w:t>
      </w:r>
      <w:r w:rsidR="00BA6474">
        <w:rPr>
          <w:i/>
          <w:color w:val="002060"/>
        </w:rPr>
        <w:t xml:space="preserve">: </w:t>
      </w:r>
      <w:r w:rsidR="00C7719F">
        <w:rPr>
          <w:i/>
          <w:color w:val="002060"/>
        </w:rPr>
        <w:t xml:space="preserve">e.g. is it </w:t>
      </w:r>
      <w:r w:rsidR="00B46253" w:rsidRPr="00255A25">
        <w:rPr>
          <w:i/>
          <w:color w:val="002060"/>
        </w:rPr>
        <w:t>sufficient in terms of sample size</w:t>
      </w:r>
      <w:r w:rsidR="00C7719F">
        <w:rPr>
          <w:i/>
          <w:color w:val="002060"/>
        </w:rPr>
        <w:t xml:space="preserve"> </w:t>
      </w:r>
      <w:r w:rsidR="0088743F" w:rsidRPr="0088743F">
        <w:rPr>
          <w:i/>
          <w:color w:val="002060"/>
        </w:rPr>
        <w:t>(number of suitable respondents for surveys, number of days of counts/readings for sensor or observed data) or coverage (locations of sensors/observation points); for sensor/count data does the collection period reflect typical conditions and avoid holidays; is the data collected specific to the target group or time of day where this is specified in the indicator</w:t>
      </w:r>
      <w:r w:rsidR="0088743F">
        <w:rPr>
          <w:i/>
          <w:color w:val="002060"/>
        </w:rPr>
        <w:t xml:space="preserve"> and is it geographically appropriate. </w:t>
      </w:r>
    </w:p>
    <w:p w14:paraId="482A75EA" w14:textId="77777777" w:rsidR="00B46253" w:rsidRDefault="00B46253" w:rsidP="00FE616C">
      <w:pPr>
        <w:rPr>
          <w:i/>
          <w:color w:val="002060"/>
        </w:rPr>
      </w:pPr>
    </w:p>
    <w:p w14:paraId="3227CFA1" w14:textId="77777777" w:rsidR="00BA3486" w:rsidRPr="00F6430F" w:rsidRDefault="00BA3486" w:rsidP="00BA3486">
      <w:pPr>
        <w:pStyle w:val="ListParagraph"/>
        <w:numPr>
          <w:ilvl w:val="0"/>
          <w:numId w:val="9"/>
        </w:numPr>
        <w:rPr>
          <w:i/>
          <w:color w:val="C00000"/>
        </w:rPr>
      </w:pPr>
      <w:r w:rsidRPr="00F6430F">
        <w:rPr>
          <w:i/>
          <w:color w:val="C00000"/>
        </w:rPr>
        <w:t>Page 18/19 from Part B of the DoA contains the ‘before’ data (from 2015) for most of the PORTIS project indicators</w:t>
      </w:r>
    </w:p>
    <w:p w14:paraId="3C552742" w14:textId="77777777" w:rsidR="00BA3486" w:rsidRPr="00F6430F" w:rsidRDefault="00BA3486" w:rsidP="00BA3486">
      <w:pPr>
        <w:rPr>
          <w:i/>
          <w:color w:val="C00000"/>
        </w:rPr>
      </w:pPr>
    </w:p>
    <w:p w14:paraId="4C576137" w14:textId="77777777" w:rsidR="00BA3486" w:rsidRDefault="00BA3486" w:rsidP="00BA3486">
      <w:pPr>
        <w:pStyle w:val="ListParagraph"/>
        <w:numPr>
          <w:ilvl w:val="0"/>
          <w:numId w:val="9"/>
        </w:numPr>
        <w:rPr>
          <w:i/>
          <w:color w:val="C00000"/>
        </w:rPr>
      </w:pPr>
      <w:r w:rsidRPr="00F6430F">
        <w:rPr>
          <w:i/>
          <w:color w:val="C00000"/>
        </w:rPr>
        <w:t xml:space="preserve">‘After’ data should be data collected by March/April 2020.    </w:t>
      </w:r>
    </w:p>
    <w:p w14:paraId="22E9275A" w14:textId="3EBF4F70" w:rsidR="00DF55FD" w:rsidRDefault="00DF55FD" w:rsidP="00BA3486">
      <w:pPr>
        <w:pStyle w:val="ListParagraph"/>
        <w:numPr>
          <w:ilvl w:val="0"/>
          <w:numId w:val="9"/>
        </w:numPr>
        <w:rPr>
          <w:i/>
          <w:color w:val="C00000"/>
        </w:rPr>
        <w:sectPr w:rsidR="00DF55FD" w:rsidSect="005431ED">
          <w:pgSz w:w="11906" w:h="16838"/>
          <w:pgMar w:top="1440" w:right="1440" w:bottom="1440" w:left="1440" w:header="708" w:footer="708" w:gutter="0"/>
          <w:cols w:space="708"/>
          <w:titlePg/>
          <w:docGrid w:linePitch="360"/>
        </w:sectPr>
      </w:pPr>
    </w:p>
    <w:tbl>
      <w:tblPr>
        <w:tblpPr w:leftFromText="180" w:rightFromText="180" w:horzAnchor="margin" w:tblpY="347"/>
        <w:tblW w:w="15276" w:type="dxa"/>
        <w:tblLook w:val="04A0" w:firstRow="1" w:lastRow="0" w:firstColumn="1" w:lastColumn="0" w:noHBand="0" w:noVBand="1"/>
      </w:tblPr>
      <w:tblGrid>
        <w:gridCol w:w="4077"/>
        <w:gridCol w:w="1701"/>
        <w:gridCol w:w="1276"/>
        <w:gridCol w:w="2693"/>
        <w:gridCol w:w="1560"/>
        <w:gridCol w:w="1417"/>
        <w:gridCol w:w="2552"/>
      </w:tblGrid>
      <w:tr w:rsidR="00D92B4D" w:rsidRPr="000B6843" w14:paraId="2C261106" w14:textId="77777777" w:rsidTr="00DF55FD">
        <w:trPr>
          <w:trHeight w:val="311"/>
        </w:trPr>
        <w:tc>
          <w:tcPr>
            <w:tcW w:w="4077" w:type="dxa"/>
            <w:vMerge w:val="restart"/>
            <w:tcBorders>
              <w:top w:val="single" w:sz="4" w:space="0" w:color="auto"/>
              <w:left w:val="single" w:sz="4" w:space="0" w:color="auto"/>
              <w:right w:val="single" w:sz="24" w:space="0" w:color="auto"/>
            </w:tcBorders>
            <w:shd w:val="clear" w:color="auto" w:fill="auto"/>
            <w:noWrap/>
            <w:vAlign w:val="bottom"/>
          </w:tcPr>
          <w:p w14:paraId="4D635343" w14:textId="5EFB741F" w:rsidR="00D92B4D" w:rsidRPr="000B6843" w:rsidRDefault="00D92B4D" w:rsidP="00DF55FD">
            <w:pPr>
              <w:jc w:val="center"/>
              <w:rPr>
                <w:rFonts w:eastAsia="Times New Roman"/>
                <w:color w:val="000000"/>
                <w:szCs w:val="20"/>
                <w:lang w:eastAsia="en-GB"/>
              </w:rPr>
            </w:pPr>
            <w:r w:rsidRPr="001B1BBD">
              <w:rPr>
                <w:rFonts w:eastAsia="Times New Roman"/>
                <w:color w:val="000000"/>
                <w:sz w:val="20"/>
                <w:szCs w:val="20"/>
                <w:lang w:eastAsia="en-GB"/>
              </w:rPr>
              <w:t xml:space="preserve">Name of </w:t>
            </w:r>
            <w:r w:rsidR="006111CC">
              <w:rPr>
                <w:rFonts w:eastAsia="Times New Roman"/>
                <w:color w:val="000000"/>
                <w:sz w:val="20"/>
                <w:szCs w:val="20"/>
                <w:lang w:eastAsia="en-GB"/>
              </w:rPr>
              <w:t xml:space="preserve">city level </w:t>
            </w:r>
            <w:r w:rsidRPr="001B1BBD">
              <w:rPr>
                <w:rFonts w:eastAsia="Times New Roman"/>
                <w:color w:val="000000"/>
                <w:sz w:val="20"/>
                <w:szCs w:val="20"/>
                <w:lang w:eastAsia="en-GB"/>
              </w:rPr>
              <w:t>indicator</w:t>
            </w:r>
          </w:p>
        </w:tc>
        <w:tc>
          <w:tcPr>
            <w:tcW w:w="5670" w:type="dxa"/>
            <w:gridSpan w:val="3"/>
            <w:tcBorders>
              <w:top w:val="single" w:sz="24" w:space="0" w:color="auto"/>
              <w:left w:val="single" w:sz="24" w:space="0" w:color="auto"/>
              <w:bottom w:val="single" w:sz="4" w:space="0" w:color="auto"/>
              <w:right w:val="single" w:sz="24" w:space="0" w:color="auto"/>
            </w:tcBorders>
            <w:shd w:val="clear" w:color="auto" w:fill="auto"/>
            <w:noWrap/>
            <w:vAlign w:val="bottom"/>
          </w:tcPr>
          <w:p w14:paraId="767E12BE" w14:textId="77777777" w:rsidR="00D92B4D" w:rsidRPr="000B6843" w:rsidRDefault="00D92B4D" w:rsidP="00DF55FD">
            <w:pPr>
              <w:jc w:val="center"/>
              <w:rPr>
                <w:rFonts w:eastAsia="Times New Roman"/>
                <w:color w:val="000000"/>
                <w:szCs w:val="20"/>
                <w:lang w:eastAsia="en-GB"/>
              </w:rPr>
            </w:pPr>
            <w:r>
              <w:rPr>
                <w:rFonts w:eastAsia="Times New Roman"/>
                <w:color w:val="000000"/>
                <w:szCs w:val="20"/>
                <w:lang w:eastAsia="en-GB"/>
              </w:rPr>
              <w:t>‘Before’ data</w:t>
            </w:r>
          </w:p>
        </w:tc>
        <w:tc>
          <w:tcPr>
            <w:tcW w:w="5529" w:type="dxa"/>
            <w:gridSpan w:val="3"/>
            <w:tcBorders>
              <w:top w:val="single" w:sz="24" w:space="0" w:color="auto"/>
              <w:left w:val="single" w:sz="24" w:space="0" w:color="auto"/>
              <w:bottom w:val="single" w:sz="8" w:space="0" w:color="auto"/>
              <w:right w:val="single" w:sz="24" w:space="0" w:color="auto"/>
            </w:tcBorders>
            <w:shd w:val="clear" w:color="auto" w:fill="auto"/>
            <w:vAlign w:val="bottom"/>
          </w:tcPr>
          <w:p w14:paraId="5DA20852" w14:textId="77777777" w:rsidR="00D92B4D" w:rsidRPr="000B6843" w:rsidRDefault="00D92B4D" w:rsidP="00DF55FD">
            <w:pPr>
              <w:jc w:val="center"/>
              <w:rPr>
                <w:rFonts w:eastAsia="Times New Roman"/>
                <w:color w:val="000000"/>
                <w:szCs w:val="20"/>
                <w:lang w:eastAsia="en-GB"/>
              </w:rPr>
            </w:pPr>
            <w:r>
              <w:rPr>
                <w:rFonts w:eastAsia="Times New Roman"/>
                <w:color w:val="000000"/>
                <w:szCs w:val="20"/>
                <w:lang w:eastAsia="en-GB"/>
              </w:rPr>
              <w:t>‘After’ data</w:t>
            </w:r>
          </w:p>
        </w:tc>
      </w:tr>
      <w:tr w:rsidR="00DD2FC5" w:rsidRPr="001B1BBD" w14:paraId="332DDE53" w14:textId="77777777" w:rsidTr="00DF55FD">
        <w:trPr>
          <w:trHeight w:val="685"/>
        </w:trPr>
        <w:tc>
          <w:tcPr>
            <w:tcW w:w="4077" w:type="dxa"/>
            <w:vMerge/>
            <w:tcBorders>
              <w:left w:val="single" w:sz="4" w:space="0" w:color="auto"/>
              <w:bottom w:val="single" w:sz="4" w:space="0" w:color="auto"/>
              <w:right w:val="single" w:sz="24" w:space="0" w:color="auto"/>
            </w:tcBorders>
            <w:shd w:val="clear" w:color="auto" w:fill="auto"/>
            <w:noWrap/>
            <w:vAlign w:val="bottom"/>
            <w:hideMark/>
          </w:tcPr>
          <w:p w14:paraId="4B67E7D9" w14:textId="77777777" w:rsidR="00D92B4D" w:rsidRPr="001B1BBD" w:rsidRDefault="00D92B4D" w:rsidP="00DF55FD">
            <w:pPr>
              <w:jc w:val="center"/>
              <w:rPr>
                <w:rFonts w:ascii="Times New Roman" w:eastAsia="Times New Roman" w:hAnsi="Times New Roman" w:cs="Times New Roman"/>
                <w:sz w:val="24"/>
                <w:szCs w:val="24"/>
                <w:lang w:eastAsia="en-GB"/>
              </w:rPr>
            </w:pPr>
          </w:p>
        </w:tc>
        <w:tc>
          <w:tcPr>
            <w:tcW w:w="1701"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14:paraId="6C365369" w14:textId="77777777" w:rsidR="00D92B4D" w:rsidRPr="001B1BBD" w:rsidRDefault="00D92B4D" w:rsidP="00DF55FD">
            <w:pPr>
              <w:jc w:val="center"/>
              <w:rPr>
                <w:rFonts w:ascii="Times New Roman" w:eastAsia="Times New Roman" w:hAnsi="Times New Roman" w:cs="Times New Roman"/>
                <w:sz w:val="20"/>
                <w:szCs w:val="20"/>
                <w:lang w:eastAsia="en-GB"/>
              </w:rPr>
            </w:pPr>
            <w:r>
              <w:rPr>
                <w:rFonts w:eastAsia="Times New Roman"/>
                <w:color w:val="000000"/>
                <w:sz w:val="20"/>
                <w:szCs w:val="20"/>
                <w:lang w:eastAsia="en-GB"/>
              </w:rPr>
              <w:t>‘Before’ data value</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7B2ACC57" w14:textId="77777777" w:rsidR="00D92B4D" w:rsidRPr="001B1BBD" w:rsidRDefault="00D92B4D" w:rsidP="00DF55FD">
            <w:pPr>
              <w:jc w:val="center"/>
              <w:rPr>
                <w:rFonts w:eastAsia="Times New Roman"/>
                <w:color w:val="000000"/>
                <w:sz w:val="20"/>
                <w:szCs w:val="20"/>
                <w:lang w:eastAsia="en-GB"/>
              </w:rPr>
            </w:pPr>
            <w:r w:rsidRPr="001B1BBD">
              <w:rPr>
                <w:rFonts w:eastAsia="Times New Roman"/>
                <w:color w:val="000000"/>
                <w:sz w:val="20"/>
                <w:szCs w:val="20"/>
                <w:lang w:eastAsia="en-GB"/>
              </w:rPr>
              <w:t>Date/</w:t>
            </w:r>
            <w:r>
              <w:rPr>
                <w:rFonts w:eastAsia="Times New Roman"/>
                <w:color w:val="000000"/>
                <w:sz w:val="20"/>
                <w:szCs w:val="20"/>
                <w:lang w:eastAsia="en-GB"/>
              </w:rPr>
              <w:t xml:space="preserve"> </w:t>
            </w:r>
            <w:r w:rsidRPr="001B1BBD">
              <w:rPr>
                <w:rFonts w:eastAsia="Times New Roman"/>
                <w:color w:val="000000"/>
                <w:sz w:val="20"/>
                <w:szCs w:val="20"/>
                <w:lang w:eastAsia="en-GB"/>
              </w:rPr>
              <w:t>period of data collection</w:t>
            </w:r>
          </w:p>
        </w:tc>
        <w:tc>
          <w:tcPr>
            <w:tcW w:w="2693" w:type="dxa"/>
            <w:tcBorders>
              <w:top w:val="single" w:sz="8" w:space="0" w:color="auto"/>
              <w:left w:val="nil"/>
              <w:bottom w:val="single" w:sz="8" w:space="0" w:color="auto"/>
              <w:right w:val="single" w:sz="24" w:space="0" w:color="auto"/>
            </w:tcBorders>
            <w:shd w:val="clear" w:color="auto" w:fill="auto"/>
            <w:vAlign w:val="bottom"/>
            <w:hideMark/>
          </w:tcPr>
          <w:p w14:paraId="33EE26B5" w14:textId="77777777" w:rsidR="00D92B4D" w:rsidRPr="001B1BBD" w:rsidRDefault="00D92B4D" w:rsidP="00DF55FD">
            <w:pPr>
              <w:jc w:val="center"/>
              <w:rPr>
                <w:rFonts w:eastAsia="Times New Roman"/>
                <w:color w:val="000000"/>
                <w:sz w:val="20"/>
                <w:szCs w:val="20"/>
                <w:lang w:eastAsia="en-GB"/>
              </w:rPr>
            </w:pPr>
            <w:r w:rsidRPr="001B1BBD">
              <w:rPr>
                <w:rFonts w:eastAsia="Times New Roman"/>
                <w:color w:val="000000"/>
                <w:sz w:val="20"/>
                <w:szCs w:val="20"/>
                <w:lang w:eastAsia="en-GB"/>
              </w:rPr>
              <w:t>Method of data collection</w:t>
            </w:r>
          </w:p>
        </w:tc>
        <w:tc>
          <w:tcPr>
            <w:tcW w:w="1560" w:type="dxa"/>
            <w:tcBorders>
              <w:top w:val="single" w:sz="8" w:space="0" w:color="auto"/>
              <w:left w:val="single" w:sz="24" w:space="0" w:color="auto"/>
              <w:bottom w:val="single" w:sz="8" w:space="0" w:color="auto"/>
              <w:right w:val="single" w:sz="4" w:space="0" w:color="auto"/>
            </w:tcBorders>
            <w:shd w:val="clear" w:color="auto" w:fill="auto"/>
            <w:vAlign w:val="bottom"/>
          </w:tcPr>
          <w:p w14:paraId="524FC665" w14:textId="77777777" w:rsidR="00D92B4D" w:rsidRPr="001B1BBD" w:rsidRDefault="00D92B4D" w:rsidP="00DF55FD">
            <w:pPr>
              <w:jc w:val="center"/>
              <w:rPr>
                <w:rFonts w:ascii="Times New Roman" w:eastAsia="Times New Roman" w:hAnsi="Times New Roman" w:cs="Times New Roman"/>
                <w:sz w:val="20"/>
                <w:szCs w:val="20"/>
                <w:lang w:eastAsia="en-GB"/>
              </w:rPr>
            </w:pPr>
            <w:r>
              <w:rPr>
                <w:rFonts w:eastAsia="Times New Roman"/>
                <w:color w:val="000000"/>
                <w:sz w:val="20"/>
                <w:szCs w:val="20"/>
                <w:lang w:eastAsia="en-GB"/>
              </w:rPr>
              <w:t>‘After’ data value</w:t>
            </w:r>
          </w:p>
        </w:tc>
        <w:tc>
          <w:tcPr>
            <w:tcW w:w="1417" w:type="dxa"/>
            <w:tcBorders>
              <w:top w:val="single" w:sz="8" w:space="0" w:color="auto"/>
              <w:left w:val="nil"/>
              <w:bottom w:val="single" w:sz="8" w:space="0" w:color="auto"/>
              <w:right w:val="single" w:sz="4" w:space="0" w:color="auto"/>
            </w:tcBorders>
            <w:shd w:val="clear" w:color="auto" w:fill="auto"/>
            <w:vAlign w:val="bottom"/>
          </w:tcPr>
          <w:p w14:paraId="597AE5F5" w14:textId="77777777" w:rsidR="00D92B4D" w:rsidRPr="001B1BBD" w:rsidRDefault="00D92B4D" w:rsidP="00DF55FD">
            <w:pPr>
              <w:jc w:val="center"/>
              <w:rPr>
                <w:rFonts w:eastAsia="Times New Roman"/>
                <w:color w:val="000000"/>
                <w:sz w:val="20"/>
                <w:szCs w:val="20"/>
                <w:lang w:eastAsia="en-GB"/>
              </w:rPr>
            </w:pPr>
            <w:r w:rsidRPr="001B1BBD">
              <w:rPr>
                <w:rFonts w:eastAsia="Times New Roman"/>
                <w:color w:val="000000"/>
                <w:sz w:val="20"/>
                <w:szCs w:val="20"/>
                <w:lang w:eastAsia="en-GB"/>
              </w:rPr>
              <w:t>Date/</w:t>
            </w:r>
            <w:r>
              <w:rPr>
                <w:rFonts w:eastAsia="Times New Roman"/>
                <w:color w:val="000000"/>
                <w:sz w:val="20"/>
                <w:szCs w:val="20"/>
                <w:lang w:eastAsia="en-GB"/>
              </w:rPr>
              <w:t xml:space="preserve"> </w:t>
            </w:r>
            <w:r w:rsidRPr="001B1BBD">
              <w:rPr>
                <w:rFonts w:eastAsia="Times New Roman"/>
                <w:color w:val="000000"/>
                <w:sz w:val="20"/>
                <w:szCs w:val="20"/>
                <w:lang w:eastAsia="en-GB"/>
              </w:rPr>
              <w:t>period of data collection</w:t>
            </w:r>
          </w:p>
        </w:tc>
        <w:tc>
          <w:tcPr>
            <w:tcW w:w="2552" w:type="dxa"/>
            <w:tcBorders>
              <w:top w:val="single" w:sz="8" w:space="0" w:color="auto"/>
              <w:left w:val="nil"/>
              <w:bottom w:val="single" w:sz="8" w:space="0" w:color="auto"/>
              <w:right w:val="single" w:sz="24" w:space="0" w:color="auto"/>
            </w:tcBorders>
            <w:vAlign w:val="bottom"/>
          </w:tcPr>
          <w:p w14:paraId="5AD4DCF7" w14:textId="77777777" w:rsidR="00D92B4D" w:rsidRPr="001B1BBD" w:rsidRDefault="00D92B4D" w:rsidP="00DF55FD">
            <w:pPr>
              <w:jc w:val="center"/>
              <w:rPr>
                <w:rFonts w:eastAsia="Times New Roman"/>
                <w:color w:val="000000"/>
                <w:sz w:val="20"/>
                <w:szCs w:val="20"/>
                <w:lang w:eastAsia="en-GB"/>
              </w:rPr>
            </w:pPr>
            <w:r w:rsidRPr="001B1BBD">
              <w:rPr>
                <w:rFonts w:eastAsia="Times New Roman"/>
                <w:color w:val="000000"/>
                <w:sz w:val="20"/>
                <w:szCs w:val="20"/>
                <w:lang w:eastAsia="en-GB"/>
              </w:rPr>
              <w:t>Method of data collection</w:t>
            </w:r>
          </w:p>
        </w:tc>
      </w:tr>
      <w:tr w:rsidR="00DD2FC5" w:rsidRPr="001B1BBD" w14:paraId="5112A586" w14:textId="77777777" w:rsidTr="00DF55FD">
        <w:trPr>
          <w:trHeight w:val="340"/>
        </w:trPr>
        <w:tc>
          <w:tcPr>
            <w:tcW w:w="4077" w:type="dxa"/>
            <w:tcBorders>
              <w:top w:val="single" w:sz="8" w:space="0" w:color="auto"/>
              <w:left w:val="single" w:sz="8" w:space="0" w:color="auto"/>
              <w:bottom w:val="single" w:sz="8" w:space="0" w:color="000000"/>
              <w:right w:val="single" w:sz="24" w:space="0" w:color="auto"/>
            </w:tcBorders>
            <w:shd w:val="clear" w:color="auto" w:fill="auto"/>
            <w:noWrap/>
            <w:vAlign w:val="center"/>
            <w:hideMark/>
          </w:tcPr>
          <w:p w14:paraId="01B6F3E4" w14:textId="77777777" w:rsidR="000B6843" w:rsidRPr="001B1BBD" w:rsidRDefault="000B6843" w:rsidP="00DF55FD">
            <w:pPr>
              <w:jc w:val="center"/>
              <w:rPr>
                <w:rFonts w:eastAsia="Times New Roman"/>
                <w:b/>
                <w:bCs/>
                <w:color w:val="000000"/>
                <w:sz w:val="20"/>
                <w:szCs w:val="20"/>
                <w:lang w:eastAsia="en-GB"/>
              </w:rPr>
            </w:pPr>
          </w:p>
        </w:tc>
        <w:tc>
          <w:tcPr>
            <w:tcW w:w="1701" w:type="dxa"/>
            <w:tcBorders>
              <w:top w:val="single" w:sz="8" w:space="0" w:color="auto"/>
              <w:left w:val="single" w:sz="24" w:space="0" w:color="auto"/>
              <w:bottom w:val="single" w:sz="4" w:space="0" w:color="auto"/>
              <w:right w:val="single" w:sz="4" w:space="0" w:color="auto"/>
            </w:tcBorders>
            <w:shd w:val="clear" w:color="auto" w:fill="auto"/>
            <w:noWrap/>
            <w:vAlign w:val="bottom"/>
          </w:tcPr>
          <w:p w14:paraId="62B72E38" w14:textId="77777777" w:rsidR="000B6843" w:rsidRPr="001B1BBD" w:rsidRDefault="000B6843" w:rsidP="00DF55FD">
            <w:pPr>
              <w:rPr>
                <w:rFonts w:eastAsia="Times New Roman"/>
                <w:color w:val="000000"/>
                <w:sz w:val="20"/>
                <w:szCs w:val="20"/>
                <w:lang w:eastAsia="en-GB"/>
              </w:rPr>
            </w:pP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875039F"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2693" w:type="dxa"/>
            <w:tcBorders>
              <w:top w:val="single" w:sz="8" w:space="0" w:color="auto"/>
              <w:left w:val="nil"/>
              <w:bottom w:val="single" w:sz="4" w:space="0" w:color="auto"/>
              <w:right w:val="single" w:sz="24" w:space="0" w:color="auto"/>
            </w:tcBorders>
            <w:shd w:val="clear" w:color="auto" w:fill="auto"/>
            <w:noWrap/>
            <w:vAlign w:val="bottom"/>
            <w:hideMark/>
          </w:tcPr>
          <w:p w14:paraId="2C18BD1C"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1560" w:type="dxa"/>
            <w:tcBorders>
              <w:top w:val="single" w:sz="8" w:space="0" w:color="auto"/>
              <w:left w:val="single" w:sz="24" w:space="0" w:color="auto"/>
              <w:bottom w:val="single" w:sz="4" w:space="0" w:color="auto"/>
              <w:right w:val="single" w:sz="4" w:space="0" w:color="auto"/>
            </w:tcBorders>
            <w:shd w:val="clear" w:color="auto" w:fill="auto"/>
            <w:noWrap/>
            <w:vAlign w:val="bottom"/>
            <w:hideMark/>
          </w:tcPr>
          <w:p w14:paraId="4C1BA68D"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5BD13EB8"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2552" w:type="dxa"/>
            <w:tcBorders>
              <w:top w:val="single" w:sz="8" w:space="0" w:color="auto"/>
              <w:left w:val="nil"/>
              <w:bottom w:val="single" w:sz="4" w:space="0" w:color="auto"/>
              <w:right w:val="single" w:sz="24" w:space="0" w:color="auto"/>
            </w:tcBorders>
          </w:tcPr>
          <w:p w14:paraId="05600E56" w14:textId="77777777" w:rsidR="000B6843" w:rsidRPr="001B1BBD" w:rsidRDefault="000B6843" w:rsidP="00DF55FD">
            <w:pPr>
              <w:rPr>
                <w:rFonts w:eastAsia="Times New Roman"/>
                <w:color w:val="000000"/>
                <w:sz w:val="20"/>
                <w:szCs w:val="20"/>
                <w:lang w:eastAsia="en-GB"/>
              </w:rPr>
            </w:pPr>
          </w:p>
        </w:tc>
      </w:tr>
      <w:tr w:rsidR="00DD2FC5" w:rsidRPr="001B1BBD" w14:paraId="5DA6778D" w14:textId="77777777" w:rsidTr="00DF55FD">
        <w:trPr>
          <w:trHeight w:val="340"/>
        </w:trPr>
        <w:tc>
          <w:tcPr>
            <w:tcW w:w="4077" w:type="dxa"/>
            <w:tcBorders>
              <w:top w:val="single" w:sz="8" w:space="0" w:color="auto"/>
              <w:left w:val="single" w:sz="8" w:space="0" w:color="auto"/>
              <w:bottom w:val="single" w:sz="8" w:space="0" w:color="000000"/>
              <w:right w:val="single" w:sz="24" w:space="0" w:color="auto"/>
            </w:tcBorders>
            <w:shd w:val="clear" w:color="auto" w:fill="auto"/>
            <w:vAlign w:val="center"/>
            <w:hideMark/>
          </w:tcPr>
          <w:p w14:paraId="5364ECEE" w14:textId="77777777" w:rsidR="000B6843" w:rsidRPr="001B1BBD" w:rsidRDefault="000B6843" w:rsidP="00DF55FD">
            <w:pPr>
              <w:rPr>
                <w:rFonts w:eastAsia="Times New Roman"/>
                <w:b/>
                <w:bCs/>
                <w:color w:val="000000"/>
                <w:sz w:val="20"/>
                <w:szCs w:val="20"/>
                <w:lang w:eastAsia="en-GB"/>
              </w:rPr>
            </w:pPr>
          </w:p>
        </w:tc>
        <w:tc>
          <w:tcPr>
            <w:tcW w:w="1701" w:type="dxa"/>
            <w:tcBorders>
              <w:top w:val="nil"/>
              <w:left w:val="single" w:sz="24" w:space="0" w:color="auto"/>
              <w:bottom w:val="single" w:sz="4" w:space="0" w:color="auto"/>
              <w:right w:val="single" w:sz="4" w:space="0" w:color="auto"/>
            </w:tcBorders>
            <w:shd w:val="clear" w:color="auto" w:fill="auto"/>
            <w:noWrap/>
            <w:vAlign w:val="bottom"/>
          </w:tcPr>
          <w:p w14:paraId="61E24BD6" w14:textId="77777777" w:rsidR="000B6843" w:rsidRPr="001B1BBD" w:rsidRDefault="000B6843" w:rsidP="00DF55FD">
            <w:pPr>
              <w:rPr>
                <w:rFonts w:eastAsia="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418447BB"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2693" w:type="dxa"/>
            <w:tcBorders>
              <w:top w:val="nil"/>
              <w:left w:val="nil"/>
              <w:bottom w:val="single" w:sz="4" w:space="0" w:color="auto"/>
              <w:right w:val="single" w:sz="24" w:space="0" w:color="auto"/>
            </w:tcBorders>
            <w:shd w:val="clear" w:color="auto" w:fill="auto"/>
            <w:noWrap/>
            <w:vAlign w:val="bottom"/>
            <w:hideMark/>
          </w:tcPr>
          <w:p w14:paraId="0AC0957F"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1560" w:type="dxa"/>
            <w:tcBorders>
              <w:top w:val="nil"/>
              <w:left w:val="single" w:sz="24" w:space="0" w:color="auto"/>
              <w:bottom w:val="single" w:sz="4" w:space="0" w:color="auto"/>
              <w:right w:val="single" w:sz="4" w:space="0" w:color="auto"/>
            </w:tcBorders>
            <w:shd w:val="clear" w:color="auto" w:fill="auto"/>
            <w:noWrap/>
            <w:vAlign w:val="bottom"/>
            <w:hideMark/>
          </w:tcPr>
          <w:p w14:paraId="1933E455"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CB5762"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2552" w:type="dxa"/>
            <w:tcBorders>
              <w:top w:val="nil"/>
              <w:left w:val="nil"/>
              <w:bottom w:val="single" w:sz="4" w:space="0" w:color="auto"/>
              <w:right w:val="single" w:sz="24" w:space="0" w:color="auto"/>
            </w:tcBorders>
          </w:tcPr>
          <w:p w14:paraId="71E447E1" w14:textId="77777777" w:rsidR="000B6843" w:rsidRPr="001B1BBD" w:rsidRDefault="000B6843" w:rsidP="00DF55FD">
            <w:pPr>
              <w:rPr>
                <w:rFonts w:eastAsia="Times New Roman"/>
                <w:color w:val="000000"/>
                <w:sz w:val="20"/>
                <w:szCs w:val="20"/>
                <w:lang w:eastAsia="en-GB"/>
              </w:rPr>
            </w:pPr>
          </w:p>
        </w:tc>
      </w:tr>
      <w:tr w:rsidR="00DD2FC5" w:rsidRPr="001B1BBD" w14:paraId="5AEEB1A4" w14:textId="77777777" w:rsidTr="00DF55FD">
        <w:trPr>
          <w:trHeight w:val="340"/>
        </w:trPr>
        <w:tc>
          <w:tcPr>
            <w:tcW w:w="4077" w:type="dxa"/>
            <w:tcBorders>
              <w:top w:val="single" w:sz="8" w:space="0" w:color="auto"/>
              <w:left w:val="single" w:sz="8" w:space="0" w:color="auto"/>
              <w:bottom w:val="single" w:sz="8" w:space="0" w:color="000000"/>
              <w:right w:val="single" w:sz="24" w:space="0" w:color="auto"/>
            </w:tcBorders>
            <w:shd w:val="clear" w:color="auto" w:fill="auto"/>
            <w:vAlign w:val="center"/>
            <w:hideMark/>
          </w:tcPr>
          <w:p w14:paraId="56453CF4" w14:textId="77777777" w:rsidR="000B6843" w:rsidRPr="001B1BBD" w:rsidRDefault="000B6843" w:rsidP="00DF55FD">
            <w:pPr>
              <w:rPr>
                <w:rFonts w:eastAsia="Times New Roman"/>
                <w:b/>
                <w:bCs/>
                <w:color w:val="000000"/>
                <w:sz w:val="20"/>
                <w:szCs w:val="20"/>
                <w:lang w:eastAsia="en-GB"/>
              </w:rPr>
            </w:pPr>
          </w:p>
        </w:tc>
        <w:tc>
          <w:tcPr>
            <w:tcW w:w="1701" w:type="dxa"/>
            <w:tcBorders>
              <w:top w:val="nil"/>
              <w:left w:val="single" w:sz="24" w:space="0" w:color="auto"/>
              <w:bottom w:val="single" w:sz="4" w:space="0" w:color="auto"/>
              <w:right w:val="single" w:sz="4" w:space="0" w:color="auto"/>
            </w:tcBorders>
            <w:shd w:val="clear" w:color="auto" w:fill="auto"/>
            <w:noWrap/>
            <w:vAlign w:val="bottom"/>
          </w:tcPr>
          <w:p w14:paraId="39404996" w14:textId="77777777" w:rsidR="000B6843" w:rsidRPr="001B1BBD" w:rsidRDefault="000B6843" w:rsidP="00DF55FD">
            <w:pPr>
              <w:rPr>
                <w:rFonts w:eastAsia="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7253DD60"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2693" w:type="dxa"/>
            <w:tcBorders>
              <w:top w:val="nil"/>
              <w:left w:val="nil"/>
              <w:bottom w:val="single" w:sz="4" w:space="0" w:color="auto"/>
              <w:right w:val="single" w:sz="24" w:space="0" w:color="auto"/>
            </w:tcBorders>
            <w:shd w:val="clear" w:color="auto" w:fill="auto"/>
            <w:noWrap/>
            <w:vAlign w:val="bottom"/>
            <w:hideMark/>
          </w:tcPr>
          <w:p w14:paraId="16609C92"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1560" w:type="dxa"/>
            <w:tcBorders>
              <w:top w:val="nil"/>
              <w:left w:val="single" w:sz="24" w:space="0" w:color="auto"/>
              <w:bottom w:val="single" w:sz="4" w:space="0" w:color="auto"/>
              <w:right w:val="single" w:sz="4" w:space="0" w:color="auto"/>
            </w:tcBorders>
            <w:shd w:val="clear" w:color="auto" w:fill="auto"/>
            <w:noWrap/>
            <w:vAlign w:val="bottom"/>
            <w:hideMark/>
          </w:tcPr>
          <w:p w14:paraId="136347B6"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C2CD35"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2552" w:type="dxa"/>
            <w:tcBorders>
              <w:top w:val="nil"/>
              <w:left w:val="nil"/>
              <w:bottom w:val="single" w:sz="4" w:space="0" w:color="auto"/>
              <w:right w:val="single" w:sz="24" w:space="0" w:color="auto"/>
            </w:tcBorders>
          </w:tcPr>
          <w:p w14:paraId="66475E04" w14:textId="77777777" w:rsidR="000B6843" w:rsidRPr="001B1BBD" w:rsidRDefault="000B6843" w:rsidP="00DF55FD">
            <w:pPr>
              <w:rPr>
                <w:rFonts w:eastAsia="Times New Roman"/>
                <w:color w:val="000000"/>
                <w:sz w:val="20"/>
                <w:szCs w:val="20"/>
                <w:lang w:eastAsia="en-GB"/>
              </w:rPr>
            </w:pPr>
          </w:p>
        </w:tc>
      </w:tr>
      <w:tr w:rsidR="00DD2FC5" w:rsidRPr="001B1BBD" w14:paraId="3D7330E3" w14:textId="77777777" w:rsidTr="00DF55FD">
        <w:trPr>
          <w:trHeight w:val="340"/>
        </w:trPr>
        <w:tc>
          <w:tcPr>
            <w:tcW w:w="4077" w:type="dxa"/>
            <w:tcBorders>
              <w:top w:val="single" w:sz="8" w:space="0" w:color="auto"/>
              <w:left w:val="single" w:sz="8" w:space="0" w:color="auto"/>
              <w:bottom w:val="single" w:sz="8" w:space="0" w:color="000000"/>
              <w:right w:val="single" w:sz="24" w:space="0" w:color="auto"/>
            </w:tcBorders>
            <w:shd w:val="clear" w:color="auto" w:fill="auto"/>
            <w:vAlign w:val="center"/>
            <w:hideMark/>
          </w:tcPr>
          <w:p w14:paraId="1221D9E4" w14:textId="77777777" w:rsidR="000B6843" w:rsidRPr="001B1BBD" w:rsidRDefault="000B6843" w:rsidP="00DF55FD">
            <w:pPr>
              <w:rPr>
                <w:rFonts w:eastAsia="Times New Roman"/>
                <w:b/>
                <w:bCs/>
                <w:color w:val="000000"/>
                <w:sz w:val="20"/>
                <w:szCs w:val="20"/>
                <w:lang w:eastAsia="en-GB"/>
              </w:rPr>
            </w:pPr>
          </w:p>
        </w:tc>
        <w:tc>
          <w:tcPr>
            <w:tcW w:w="1701" w:type="dxa"/>
            <w:tcBorders>
              <w:top w:val="nil"/>
              <w:left w:val="single" w:sz="24" w:space="0" w:color="auto"/>
              <w:bottom w:val="single" w:sz="4" w:space="0" w:color="auto"/>
              <w:right w:val="single" w:sz="4" w:space="0" w:color="auto"/>
            </w:tcBorders>
            <w:shd w:val="clear" w:color="auto" w:fill="auto"/>
            <w:noWrap/>
            <w:vAlign w:val="bottom"/>
          </w:tcPr>
          <w:p w14:paraId="37B0B63A" w14:textId="77777777" w:rsidR="000B6843" w:rsidRPr="001B1BBD" w:rsidRDefault="000B6843" w:rsidP="00DF55FD">
            <w:pPr>
              <w:rPr>
                <w:rFonts w:eastAsia="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114BA3F8"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2693" w:type="dxa"/>
            <w:tcBorders>
              <w:top w:val="nil"/>
              <w:left w:val="nil"/>
              <w:bottom w:val="single" w:sz="4" w:space="0" w:color="auto"/>
              <w:right w:val="single" w:sz="24" w:space="0" w:color="auto"/>
            </w:tcBorders>
            <w:shd w:val="clear" w:color="auto" w:fill="auto"/>
            <w:noWrap/>
            <w:vAlign w:val="bottom"/>
            <w:hideMark/>
          </w:tcPr>
          <w:p w14:paraId="1DDE0CDB"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1560" w:type="dxa"/>
            <w:tcBorders>
              <w:top w:val="nil"/>
              <w:left w:val="single" w:sz="24" w:space="0" w:color="auto"/>
              <w:bottom w:val="single" w:sz="4" w:space="0" w:color="auto"/>
              <w:right w:val="single" w:sz="4" w:space="0" w:color="auto"/>
            </w:tcBorders>
            <w:shd w:val="clear" w:color="auto" w:fill="auto"/>
            <w:noWrap/>
            <w:vAlign w:val="bottom"/>
            <w:hideMark/>
          </w:tcPr>
          <w:p w14:paraId="6A9FE407"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12FBE2C5"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2552" w:type="dxa"/>
            <w:tcBorders>
              <w:top w:val="nil"/>
              <w:left w:val="nil"/>
              <w:bottom w:val="single" w:sz="4" w:space="0" w:color="auto"/>
              <w:right w:val="single" w:sz="24" w:space="0" w:color="auto"/>
            </w:tcBorders>
          </w:tcPr>
          <w:p w14:paraId="64376D91" w14:textId="77777777" w:rsidR="000B6843" w:rsidRPr="001B1BBD" w:rsidRDefault="000B6843" w:rsidP="00DF55FD">
            <w:pPr>
              <w:rPr>
                <w:rFonts w:eastAsia="Times New Roman"/>
                <w:color w:val="000000"/>
                <w:sz w:val="20"/>
                <w:szCs w:val="20"/>
                <w:lang w:eastAsia="en-GB"/>
              </w:rPr>
            </w:pPr>
          </w:p>
        </w:tc>
      </w:tr>
      <w:tr w:rsidR="00DD2FC5" w:rsidRPr="001B1BBD" w14:paraId="55FF7A7A" w14:textId="77777777" w:rsidTr="00DF55FD">
        <w:trPr>
          <w:trHeight w:val="340"/>
        </w:trPr>
        <w:tc>
          <w:tcPr>
            <w:tcW w:w="4077" w:type="dxa"/>
            <w:tcBorders>
              <w:top w:val="single" w:sz="8" w:space="0" w:color="auto"/>
              <w:left w:val="single" w:sz="8" w:space="0" w:color="auto"/>
              <w:bottom w:val="single" w:sz="8" w:space="0" w:color="000000"/>
              <w:right w:val="single" w:sz="24" w:space="0" w:color="auto"/>
            </w:tcBorders>
            <w:shd w:val="clear" w:color="auto" w:fill="auto"/>
            <w:vAlign w:val="center"/>
          </w:tcPr>
          <w:p w14:paraId="63CEF835" w14:textId="77777777" w:rsidR="00DD2FC5" w:rsidRPr="001B1BBD" w:rsidRDefault="00DD2FC5" w:rsidP="00DF55FD">
            <w:pPr>
              <w:rPr>
                <w:rFonts w:eastAsia="Times New Roman"/>
                <w:b/>
                <w:bCs/>
                <w:color w:val="000000"/>
                <w:sz w:val="20"/>
                <w:szCs w:val="20"/>
                <w:lang w:eastAsia="en-GB"/>
              </w:rPr>
            </w:pPr>
          </w:p>
        </w:tc>
        <w:tc>
          <w:tcPr>
            <w:tcW w:w="1701" w:type="dxa"/>
            <w:tcBorders>
              <w:top w:val="nil"/>
              <w:left w:val="single" w:sz="24" w:space="0" w:color="auto"/>
              <w:bottom w:val="single" w:sz="4" w:space="0" w:color="auto"/>
              <w:right w:val="single" w:sz="4" w:space="0" w:color="auto"/>
            </w:tcBorders>
            <w:shd w:val="clear" w:color="auto" w:fill="auto"/>
            <w:noWrap/>
            <w:vAlign w:val="bottom"/>
          </w:tcPr>
          <w:p w14:paraId="16150484" w14:textId="77777777" w:rsidR="00DD2FC5" w:rsidRPr="001B1BBD" w:rsidRDefault="00DD2FC5" w:rsidP="00DF55FD">
            <w:pPr>
              <w:rPr>
                <w:rFonts w:eastAsia="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tcPr>
          <w:p w14:paraId="3F5AE7B6" w14:textId="77777777" w:rsidR="00DD2FC5" w:rsidRPr="001B1BBD" w:rsidRDefault="00DD2FC5" w:rsidP="00DF55FD">
            <w:pPr>
              <w:rPr>
                <w:rFonts w:eastAsia="Times New Roman"/>
                <w:color w:val="000000"/>
                <w:sz w:val="20"/>
                <w:szCs w:val="20"/>
                <w:lang w:eastAsia="en-GB"/>
              </w:rPr>
            </w:pPr>
          </w:p>
        </w:tc>
        <w:tc>
          <w:tcPr>
            <w:tcW w:w="2693" w:type="dxa"/>
            <w:tcBorders>
              <w:top w:val="nil"/>
              <w:left w:val="nil"/>
              <w:bottom w:val="single" w:sz="4" w:space="0" w:color="auto"/>
              <w:right w:val="single" w:sz="24" w:space="0" w:color="auto"/>
            </w:tcBorders>
            <w:shd w:val="clear" w:color="auto" w:fill="auto"/>
            <w:noWrap/>
            <w:vAlign w:val="bottom"/>
          </w:tcPr>
          <w:p w14:paraId="1D780DF5" w14:textId="77777777" w:rsidR="00DD2FC5" w:rsidRPr="001B1BBD" w:rsidRDefault="00DD2FC5" w:rsidP="00DF55FD">
            <w:pPr>
              <w:rPr>
                <w:rFonts w:eastAsia="Times New Roman"/>
                <w:color w:val="000000"/>
                <w:sz w:val="20"/>
                <w:szCs w:val="20"/>
                <w:lang w:eastAsia="en-GB"/>
              </w:rPr>
            </w:pPr>
          </w:p>
        </w:tc>
        <w:tc>
          <w:tcPr>
            <w:tcW w:w="1560" w:type="dxa"/>
            <w:tcBorders>
              <w:top w:val="nil"/>
              <w:left w:val="single" w:sz="24" w:space="0" w:color="auto"/>
              <w:bottom w:val="single" w:sz="4" w:space="0" w:color="auto"/>
              <w:right w:val="single" w:sz="4" w:space="0" w:color="auto"/>
            </w:tcBorders>
            <w:shd w:val="clear" w:color="auto" w:fill="auto"/>
            <w:noWrap/>
            <w:vAlign w:val="bottom"/>
          </w:tcPr>
          <w:p w14:paraId="21BC2581" w14:textId="77777777" w:rsidR="00DD2FC5" w:rsidRPr="001B1BBD" w:rsidRDefault="00DD2FC5" w:rsidP="00DF55FD">
            <w:pPr>
              <w:rPr>
                <w:rFonts w:eastAsia="Times New Roman"/>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noWrap/>
            <w:vAlign w:val="bottom"/>
          </w:tcPr>
          <w:p w14:paraId="49F793DD" w14:textId="77777777" w:rsidR="00DD2FC5" w:rsidRPr="001B1BBD" w:rsidRDefault="00DD2FC5" w:rsidP="00DF55FD">
            <w:pPr>
              <w:rPr>
                <w:rFonts w:eastAsia="Times New Roman"/>
                <w:color w:val="000000"/>
                <w:sz w:val="20"/>
                <w:szCs w:val="20"/>
                <w:lang w:eastAsia="en-GB"/>
              </w:rPr>
            </w:pPr>
          </w:p>
        </w:tc>
        <w:tc>
          <w:tcPr>
            <w:tcW w:w="2552" w:type="dxa"/>
            <w:tcBorders>
              <w:top w:val="nil"/>
              <w:left w:val="nil"/>
              <w:bottom w:val="single" w:sz="4" w:space="0" w:color="auto"/>
              <w:right w:val="single" w:sz="24" w:space="0" w:color="auto"/>
            </w:tcBorders>
          </w:tcPr>
          <w:p w14:paraId="39F0627F" w14:textId="77777777" w:rsidR="00DD2FC5" w:rsidRPr="001B1BBD" w:rsidRDefault="00DD2FC5" w:rsidP="00DF55FD">
            <w:pPr>
              <w:rPr>
                <w:rFonts w:eastAsia="Times New Roman"/>
                <w:color w:val="000000"/>
                <w:sz w:val="20"/>
                <w:szCs w:val="20"/>
                <w:lang w:eastAsia="en-GB"/>
              </w:rPr>
            </w:pPr>
          </w:p>
        </w:tc>
      </w:tr>
      <w:tr w:rsidR="00DD2FC5" w:rsidRPr="001B1BBD" w14:paraId="0CFAB8B3" w14:textId="77777777" w:rsidTr="00DF55FD">
        <w:trPr>
          <w:trHeight w:val="340"/>
        </w:trPr>
        <w:tc>
          <w:tcPr>
            <w:tcW w:w="4077" w:type="dxa"/>
            <w:tcBorders>
              <w:top w:val="single" w:sz="8" w:space="0" w:color="auto"/>
              <w:left w:val="single" w:sz="8" w:space="0" w:color="auto"/>
              <w:bottom w:val="single" w:sz="8" w:space="0" w:color="000000"/>
              <w:right w:val="single" w:sz="24" w:space="0" w:color="auto"/>
            </w:tcBorders>
            <w:shd w:val="clear" w:color="auto" w:fill="auto"/>
            <w:vAlign w:val="center"/>
          </w:tcPr>
          <w:p w14:paraId="450A7A14" w14:textId="77777777" w:rsidR="00DD2FC5" w:rsidRPr="001B1BBD" w:rsidRDefault="00DD2FC5" w:rsidP="00DF55FD">
            <w:pPr>
              <w:rPr>
                <w:rFonts w:eastAsia="Times New Roman"/>
                <w:b/>
                <w:bCs/>
                <w:color w:val="000000"/>
                <w:sz w:val="20"/>
                <w:szCs w:val="20"/>
                <w:lang w:eastAsia="en-GB"/>
              </w:rPr>
            </w:pPr>
          </w:p>
        </w:tc>
        <w:tc>
          <w:tcPr>
            <w:tcW w:w="1701" w:type="dxa"/>
            <w:tcBorders>
              <w:top w:val="nil"/>
              <w:left w:val="single" w:sz="24" w:space="0" w:color="auto"/>
              <w:bottom w:val="single" w:sz="4" w:space="0" w:color="auto"/>
              <w:right w:val="single" w:sz="4" w:space="0" w:color="auto"/>
            </w:tcBorders>
            <w:shd w:val="clear" w:color="auto" w:fill="auto"/>
            <w:noWrap/>
            <w:vAlign w:val="bottom"/>
          </w:tcPr>
          <w:p w14:paraId="3DFA305A" w14:textId="77777777" w:rsidR="00DD2FC5" w:rsidRPr="001B1BBD" w:rsidRDefault="00DD2FC5" w:rsidP="00DF55FD">
            <w:pPr>
              <w:rPr>
                <w:rFonts w:eastAsia="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tcPr>
          <w:p w14:paraId="421DB36E" w14:textId="77777777" w:rsidR="00DD2FC5" w:rsidRPr="001B1BBD" w:rsidRDefault="00DD2FC5" w:rsidP="00DF55FD">
            <w:pPr>
              <w:rPr>
                <w:rFonts w:eastAsia="Times New Roman"/>
                <w:color w:val="000000"/>
                <w:sz w:val="20"/>
                <w:szCs w:val="20"/>
                <w:lang w:eastAsia="en-GB"/>
              </w:rPr>
            </w:pPr>
          </w:p>
        </w:tc>
        <w:tc>
          <w:tcPr>
            <w:tcW w:w="2693" w:type="dxa"/>
            <w:tcBorders>
              <w:top w:val="nil"/>
              <w:left w:val="nil"/>
              <w:bottom w:val="single" w:sz="4" w:space="0" w:color="auto"/>
              <w:right w:val="single" w:sz="24" w:space="0" w:color="auto"/>
            </w:tcBorders>
            <w:shd w:val="clear" w:color="auto" w:fill="auto"/>
            <w:noWrap/>
            <w:vAlign w:val="bottom"/>
          </w:tcPr>
          <w:p w14:paraId="0879486C" w14:textId="77777777" w:rsidR="00DD2FC5" w:rsidRPr="001B1BBD" w:rsidRDefault="00DD2FC5" w:rsidP="00DF55FD">
            <w:pPr>
              <w:rPr>
                <w:rFonts w:eastAsia="Times New Roman"/>
                <w:color w:val="000000"/>
                <w:sz w:val="20"/>
                <w:szCs w:val="20"/>
                <w:lang w:eastAsia="en-GB"/>
              </w:rPr>
            </w:pPr>
          </w:p>
        </w:tc>
        <w:tc>
          <w:tcPr>
            <w:tcW w:w="1560" w:type="dxa"/>
            <w:tcBorders>
              <w:top w:val="nil"/>
              <w:left w:val="single" w:sz="24" w:space="0" w:color="auto"/>
              <w:bottom w:val="single" w:sz="4" w:space="0" w:color="auto"/>
              <w:right w:val="single" w:sz="4" w:space="0" w:color="auto"/>
            </w:tcBorders>
            <w:shd w:val="clear" w:color="auto" w:fill="auto"/>
            <w:noWrap/>
            <w:vAlign w:val="bottom"/>
          </w:tcPr>
          <w:p w14:paraId="2FDC1953" w14:textId="77777777" w:rsidR="00DD2FC5" w:rsidRPr="001B1BBD" w:rsidRDefault="00DD2FC5" w:rsidP="00DF55FD">
            <w:pPr>
              <w:rPr>
                <w:rFonts w:eastAsia="Times New Roman"/>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noWrap/>
            <w:vAlign w:val="bottom"/>
          </w:tcPr>
          <w:p w14:paraId="29C44092" w14:textId="77777777" w:rsidR="00DD2FC5" w:rsidRPr="001B1BBD" w:rsidRDefault="00DD2FC5" w:rsidP="00DF55FD">
            <w:pPr>
              <w:rPr>
                <w:rFonts w:eastAsia="Times New Roman"/>
                <w:color w:val="000000"/>
                <w:sz w:val="20"/>
                <w:szCs w:val="20"/>
                <w:lang w:eastAsia="en-GB"/>
              </w:rPr>
            </w:pPr>
          </w:p>
        </w:tc>
        <w:tc>
          <w:tcPr>
            <w:tcW w:w="2552" w:type="dxa"/>
            <w:tcBorders>
              <w:top w:val="nil"/>
              <w:left w:val="nil"/>
              <w:bottom w:val="single" w:sz="4" w:space="0" w:color="auto"/>
              <w:right w:val="single" w:sz="24" w:space="0" w:color="auto"/>
            </w:tcBorders>
          </w:tcPr>
          <w:p w14:paraId="68EDFC73" w14:textId="77777777" w:rsidR="00DD2FC5" w:rsidRPr="001B1BBD" w:rsidRDefault="00DD2FC5" w:rsidP="00DF55FD">
            <w:pPr>
              <w:rPr>
                <w:rFonts w:eastAsia="Times New Roman"/>
                <w:color w:val="000000"/>
                <w:sz w:val="20"/>
                <w:szCs w:val="20"/>
                <w:lang w:eastAsia="en-GB"/>
              </w:rPr>
            </w:pPr>
          </w:p>
        </w:tc>
      </w:tr>
      <w:tr w:rsidR="00DD2FC5" w:rsidRPr="001B1BBD" w14:paraId="5F769D5E" w14:textId="77777777" w:rsidTr="00DF55FD">
        <w:trPr>
          <w:trHeight w:val="340"/>
        </w:trPr>
        <w:tc>
          <w:tcPr>
            <w:tcW w:w="4077" w:type="dxa"/>
            <w:tcBorders>
              <w:top w:val="single" w:sz="8" w:space="0" w:color="auto"/>
              <w:left w:val="single" w:sz="8" w:space="0" w:color="auto"/>
              <w:bottom w:val="single" w:sz="8" w:space="0" w:color="000000"/>
              <w:right w:val="single" w:sz="24" w:space="0" w:color="auto"/>
            </w:tcBorders>
            <w:shd w:val="clear" w:color="auto" w:fill="auto"/>
            <w:vAlign w:val="center"/>
          </w:tcPr>
          <w:p w14:paraId="350699B8" w14:textId="77777777" w:rsidR="00DD2FC5" w:rsidRPr="001B1BBD" w:rsidRDefault="00DD2FC5" w:rsidP="00DF55FD">
            <w:pPr>
              <w:rPr>
                <w:rFonts w:eastAsia="Times New Roman"/>
                <w:b/>
                <w:bCs/>
                <w:color w:val="000000"/>
                <w:sz w:val="20"/>
                <w:szCs w:val="20"/>
                <w:lang w:eastAsia="en-GB"/>
              </w:rPr>
            </w:pPr>
          </w:p>
        </w:tc>
        <w:tc>
          <w:tcPr>
            <w:tcW w:w="1701" w:type="dxa"/>
            <w:tcBorders>
              <w:top w:val="nil"/>
              <w:left w:val="single" w:sz="24" w:space="0" w:color="auto"/>
              <w:bottom w:val="single" w:sz="4" w:space="0" w:color="auto"/>
              <w:right w:val="single" w:sz="4" w:space="0" w:color="auto"/>
            </w:tcBorders>
            <w:shd w:val="clear" w:color="auto" w:fill="auto"/>
            <w:noWrap/>
            <w:vAlign w:val="bottom"/>
          </w:tcPr>
          <w:p w14:paraId="594404F1" w14:textId="77777777" w:rsidR="00DD2FC5" w:rsidRPr="001B1BBD" w:rsidRDefault="00DD2FC5" w:rsidP="00DF55FD">
            <w:pPr>
              <w:rPr>
                <w:rFonts w:eastAsia="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tcPr>
          <w:p w14:paraId="217E729F" w14:textId="77777777" w:rsidR="00DD2FC5" w:rsidRPr="001B1BBD" w:rsidRDefault="00DD2FC5" w:rsidP="00DF55FD">
            <w:pPr>
              <w:rPr>
                <w:rFonts w:eastAsia="Times New Roman"/>
                <w:color w:val="000000"/>
                <w:sz w:val="20"/>
                <w:szCs w:val="20"/>
                <w:lang w:eastAsia="en-GB"/>
              </w:rPr>
            </w:pPr>
          </w:p>
        </w:tc>
        <w:tc>
          <w:tcPr>
            <w:tcW w:w="2693" w:type="dxa"/>
            <w:tcBorders>
              <w:top w:val="nil"/>
              <w:left w:val="nil"/>
              <w:bottom w:val="single" w:sz="4" w:space="0" w:color="auto"/>
              <w:right w:val="single" w:sz="24" w:space="0" w:color="auto"/>
            </w:tcBorders>
            <w:shd w:val="clear" w:color="auto" w:fill="auto"/>
            <w:noWrap/>
            <w:vAlign w:val="bottom"/>
          </w:tcPr>
          <w:p w14:paraId="0B00107C" w14:textId="77777777" w:rsidR="00DD2FC5" w:rsidRPr="001B1BBD" w:rsidRDefault="00DD2FC5" w:rsidP="00DF55FD">
            <w:pPr>
              <w:rPr>
                <w:rFonts w:eastAsia="Times New Roman"/>
                <w:color w:val="000000"/>
                <w:sz w:val="20"/>
                <w:szCs w:val="20"/>
                <w:lang w:eastAsia="en-GB"/>
              </w:rPr>
            </w:pPr>
          </w:p>
        </w:tc>
        <w:tc>
          <w:tcPr>
            <w:tcW w:w="1560" w:type="dxa"/>
            <w:tcBorders>
              <w:top w:val="nil"/>
              <w:left w:val="single" w:sz="24" w:space="0" w:color="auto"/>
              <w:bottom w:val="single" w:sz="4" w:space="0" w:color="auto"/>
              <w:right w:val="single" w:sz="4" w:space="0" w:color="auto"/>
            </w:tcBorders>
            <w:shd w:val="clear" w:color="auto" w:fill="auto"/>
            <w:noWrap/>
            <w:vAlign w:val="bottom"/>
          </w:tcPr>
          <w:p w14:paraId="1C852CE8" w14:textId="77777777" w:rsidR="00DD2FC5" w:rsidRPr="001B1BBD" w:rsidRDefault="00DD2FC5" w:rsidP="00DF55FD">
            <w:pPr>
              <w:rPr>
                <w:rFonts w:eastAsia="Times New Roman"/>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noWrap/>
            <w:vAlign w:val="bottom"/>
          </w:tcPr>
          <w:p w14:paraId="3C187B2D" w14:textId="77777777" w:rsidR="00DD2FC5" w:rsidRPr="001B1BBD" w:rsidRDefault="00DD2FC5" w:rsidP="00DF55FD">
            <w:pPr>
              <w:rPr>
                <w:rFonts w:eastAsia="Times New Roman"/>
                <w:color w:val="000000"/>
                <w:sz w:val="20"/>
                <w:szCs w:val="20"/>
                <w:lang w:eastAsia="en-GB"/>
              </w:rPr>
            </w:pPr>
          </w:p>
        </w:tc>
        <w:tc>
          <w:tcPr>
            <w:tcW w:w="2552" w:type="dxa"/>
            <w:tcBorders>
              <w:top w:val="nil"/>
              <w:left w:val="nil"/>
              <w:bottom w:val="single" w:sz="4" w:space="0" w:color="auto"/>
              <w:right w:val="single" w:sz="24" w:space="0" w:color="auto"/>
            </w:tcBorders>
          </w:tcPr>
          <w:p w14:paraId="123A3E59" w14:textId="77777777" w:rsidR="00DD2FC5" w:rsidRPr="001B1BBD" w:rsidRDefault="00DD2FC5" w:rsidP="00DF55FD">
            <w:pPr>
              <w:rPr>
                <w:rFonts w:eastAsia="Times New Roman"/>
                <w:color w:val="000000"/>
                <w:sz w:val="20"/>
                <w:szCs w:val="20"/>
                <w:lang w:eastAsia="en-GB"/>
              </w:rPr>
            </w:pPr>
          </w:p>
        </w:tc>
      </w:tr>
      <w:tr w:rsidR="00DD2FC5" w:rsidRPr="001B1BBD" w14:paraId="4A975704" w14:textId="77777777" w:rsidTr="00DF55FD">
        <w:trPr>
          <w:trHeight w:val="340"/>
        </w:trPr>
        <w:tc>
          <w:tcPr>
            <w:tcW w:w="4077" w:type="dxa"/>
            <w:tcBorders>
              <w:top w:val="single" w:sz="8" w:space="0" w:color="auto"/>
              <w:left w:val="single" w:sz="8" w:space="0" w:color="auto"/>
              <w:bottom w:val="single" w:sz="8" w:space="0" w:color="000000"/>
              <w:right w:val="single" w:sz="24" w:space="0" w:color="auto"/>
            </w:tcBorders>
            <w:shd w:val="clear" w:color="auto" w:fill="auto"/>
            <w:vAlign w:val="center"/>
          </w:tcPr>
          <w:p w14:paraId="64801276" w14:textId="77777777" w:rsidR="00DD2FC5" w:rsidRPr="001B1BBD" w:rsidRDefault="00DD2FC5" w:rsidP="00DF55FD">
            <w:pPr>
              <w:rPr>
                <w:rFonts w:eastAsia="Times New Roman"/>
                <w:b/>
                <w:bCs/>
                <w:color w:val="000000"/>
                <w:sz w:val="20"/>
                <w:szCs w:val="20"/>
                <w:lang w:eastAsia="en-GB"/>
              </w:rPr>
            </w:pPr>
          </w:p>
        </w:tc>
        <w:tc>
          <w:tcPr>
            <w:tcW w:w="1701" w:type="dxa"/>
            <w:tcBorders>
              <w:top w:val="nil"/>
              <w:left w:val="single" w:sz="24" w:space="0" w:color="auto"/>
              <w:bottom w:val="single" w:sz="4" w:space="0" w:color="auto"/>
              <w:right w:val="single" w:sz="4" w:space="0" w:color="auto"/>
            </w:tcBorders>
            <w:shd w:val="clear" w:color="auto" w:fill="auto"/>
            <w:noWrap/>
            <w:vAlign w:val="bottom"/>
          </w:tcPr>
          <w:p w14:paraId="2051279D" w14:textId="77777777" w:rsidR="00DD2FC5" w:rsidRPr="001B1BBD" w:rsidRDefault="00DD2FC5" w:rsidP="00DF55FD">
            <w:pPr>
              <w:rPr>
                <w:rFonts w:eastAsia="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bottom"/>
          </w:tcPr>
          <w:p w14:paraId="64697758" w14:textId="77777777" w:rsidR="00DD2FC5" w:rsidRPr="001B1BBD" w:rsidRDefault="00DD2FC5" w:rsidP="00DF55FD">
            <w:pPr>
              <w:rPr>
                <w:rFonts w:eastAsia="Times New Roman"/>
                <w:color w:val="000000"/>
                <w:sz w:val="20"/>
                <w:szCs w:val="20"/>
                <w:lang w:eastAsia="en-GB"/>
              </w:rPr>
            </w:pPr>
          </w:p>
        </w:tc>
        <w:tc>
          <w:tcPr>
            <w:tcW w:w="2693" w:type="dxa"/>
            <w:tcBorders>
              <w:top w:val="nil"/>
              <w:left w:val="nil"/>
              <w:bottom w:val="single" w:sz="4" w:space="0" w:color="auto"/>
              <w:right w:val="single" w:sz="24" w:space="0" w:color="auto"/>
            </w:tcBorders>
            <w:shd w:val="clear" w:color="auto" w:fill="auto"/>
            <w:noWrap/>
            <w:vAlign w:val="bottom"/>
          </w:tcPr>
          <w:p w14:paraId="3D14457C" w14:textId="77777777" w:rsidR="00DD2FC5" w:rsidRPr="001B1BBD" w:rsidRDefault="00DD2FC5" w:rsidP="00DF55FD">
            <w:pPr>
              <w:rPr>
                <w:rFonts w:eastAsia="Times New Roman"/>
                <w:color w:val="000000"/>
                <w:sz w:val="20"/>
                <w:szCs w:val="20"/>
                <w:lang w:eastAsia="en-GB"/>
              </w:rPr>
            </w:pPr>
          </w:p>
        </w:tc>
        <w:tc>
          <w:tcPr>
            <w:tcW w:w="1560" w:type="dxa"/>
            <w:tcBorders>
              <w:top w:val="nil"/>
              <w:left w:val="single" w:sz="24" w:space="0" w:color="auto"/>
              <w:bottom w:val="single" w:sz="4" w:space="0" w:color="auto"/>
              <w:right w:val="single" w:sz="4" w:space="0" w:color="auto"/>
            </w:tcBorders>
            <w:shd w:val="clear" w:color="auto" w:fill="auto"/>
            <w:noWrap/>
            <w:vAlign w:val="bottom"/>
          </w:tcPr>
          <w:p w14:paraId="4DBA69B5" w14:textId="77777777" w:rsidR="00DD2FC5" w:rsidRPr="001B1BBD" w:rsidRDefault="00DD2FC5" w:rsidP="00DF55FD">
            <w:pPr>
              <w:rPr>
                <w:rFonts w:eastAsia="Times New Roman"/>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noWrap/>
            <w:vAlign w:val="bottom"/>
          </w:tcPr>
          <w:p w14:paraId="03761F6C" w14:textId="77777777" w:rsidR="00DD2FC5" w:rsidRPr="001B1BBD" w:rsidRDefault="00DD2FC5" w:rsidP="00DF55FD">
            <w:pPr>
              <w:rPr>
                <w:rFonts w:eastAsia="Times New Roman"/>
                <w:color w:val="000000"/>
                <w:sz w:val="20"/>
                <w:szCs w:val="20"/>
                <w:lang w:eastAsia="en-GB"/>
              </w:rPr>
            </w:pPr>
          </w:p>
        </w:tc>
        <w:tc>
          <w:tcPr>
            <w:tcW w:w="2552" w:type="dxa"/>
            <w:tcBorders>
              <w:top w:val="nil"/>
              <w:left w:val="nil"/>
              <w:bottom w:val="single" w:sz="4" w:space="0" w:color="auto"/>
              <w:right w:val="single" w:sz="24" w:space="0" w:color="auto"/>
            </w:tcBorders>
          </w:tcPr>
          <w:p w14:paraId="65A01D77" w14:textId="77777777" w:rsidR="00DD2FC5" w:rsidRPr="001B1BBD" w:rsidRDefault="00DD2FC5" w:rsidP="00DF55FD">
            <w:pPr>
              <w:rPr>
                <w:rFonts w:eastAsia="Times New Roman"/>
                <w:color w:val="000000"/>
                <w:sz w:val="20"/>
                <w:szCs w:val="20"/>
                <w:lang w:eastAsia="en-GB"/>
              </w:rPr>
            </w:pPr>
          </w:p>
        </w:tc>
      </w:tr>
      <w:tr w:rsidR="00DD2FC5" w:rsidRPr="001B1BBD" w14:paraId="591A2957" w14:textId="77777777" w:rsidTr="00DF55FD">
        <w:trPr>
          <w:trHeight w:val="340"/>
        </w:trPr>
        <w:tc>
          <w:tcPr>
            <w:tcW w:w="4077" w:type="dxa"/>
            <w:tcBorders>
              <w:top w:val="single" w:sz="8" w:space="0" w:color="auto"/>
              <w:left w:val="single" w:sz="8" w:space="0" w:color="auto"/>
              <w:bottom w:val="single" w:sz="8" w:space="0" w:color="000000"/>
              <w:right w:val="single" w:sz="24" w:space="0" w:color="auto"/>
            </w:tcBorders>
            <w:shd w:val="clear" w:color="auto" w:fill="auto"/>
            <w:vAlign w:val="center"/>
            <w:hideMark/>
          </w:tcPr>
          <w:p w14:paraId="07274CCF" w14:textId="77777777" w:rsidR="000B6843" w:rsidRPr="001B1BBD" w:rsidRDefault="000B6843" w:rsidP="00DF55FD">
            <w:pPr>
              <w:rPr>
                <w:rFonts w:eastAsia="Times New Roman"/>
                <w:b/>
                <w:bCs/>
                <w:color w:val="000000"/>
                <w:sz w:val="20"/>
                <w:szCs w:val="20"/>
                <w:lang w:eastAsia="en-GB"/>
              </w:rPr>
            </w:pPr>
          </w:p>
        </w:tc>
        <w:tc>
          <w:tcPr>
            <w:tcW w:w="1701" w:type="dxa"/>
            <w:tcBorders>
              <w:top w:val="nil"/>
              <w:left w:val="single" w:sz="24" w:space="0" w:color="auto"/>
              <w:bottom w:val="single" w:sz="24" w:space="0" w:color="auto"/>
              <w:right w:val="single" w:sz="4" w:space="0" w:color="auto"/>
            </w:tcBorders>
            <w:shd w:val="clear" w:color="auto" w:fill="auto"/>
            <w:noWrap/>
            <w:vAlign w:val="bottom"/>
          </w:tcPr>
          <w:p w14:paraId="09BA5A99" w14:textId="77777777" w:rsidR="000B6843" w:rsidRPr="001B1BBD" w:rsidRDefault="000B6843" w:rsidP="00DF55FD">
            <w:pPr>
              <w:rPr>
                <w:rFonts w:eastAsia="Times New Roman"/>
                <w:color w:val="000000"/>
                <w:sz w:val="20"/>
                <w:szCs w:val="20"/>
                <w:lang w:eastAsia="en-GB"/>
              </w:rPr>
            </w:pPr>
          </w:p>
        </w:tc>
        <w:tc>
          <w:tcPr>
            <w:tcW w:w="1276" w:type="dxa"/>
            <w:tcBorders>
              <w:top w:val="nil"/>
              <w:left w:val="nil"/>
              <w:bottom w:val="single" w:sz="24" w:space="0" w:color="auto"/>
              <w:right w:val="single" w:sz="4" w:space="0" w:color="auto"/>
            </w:tcBorders>
            <w:shd w:val="clear" w:color="auto" w:fill="auto"/>
            <w:noWrap/>
            <w:vAlign w:val="bottom"/>
            <w:hideMark/>
          </w:tcPr>
          <w:p w14:paraId="4D32584D"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2693" w:type="dxa"/>
            <w:tcBorders>
              <w:top w:val="nil"/>
              <w:left w:val="nil"/>
              <w:bottom w:val="single" w:sz="24" w:space="0" w:color="auto"/>
              <w:right w:val="single" w:sz="24" w:space="0" w:color="auto"/>
            </w:tcBorders>
            <w:shd w:val="clear" w:color="auto" w:fill="auto"/>
            <w:noWrap/>
            <w:vAlign w:val="bottom"/>
            <w:hideMark/>
          </w:tcPr>
          <w:p w14:paraId="1F726F12"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1560" w:type="dxa"/>
            <w:tcBorders>
              <w:top w:val="nil"/>
              <w:left w:val="single" w:sz="24" w:space="0" w:color="auto"/>
              <w:bottom w:val="single" w:sz="24" w:space="0" w:color="auto"/>
              <w:right w:val="single" w:sz="4" w:space="0" w:color="auto"/>
            </w:tcBorders>
            <w:shd w:val="clear" w:color="auto" w:fill="auto"/>
            <w:noWrap/>
            <w:vAlign w:val="bottom"/>
            <w:hideMark/>
          </w:tcPr>
          <w:p w14:paraId="041BCB00"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1417" w:type="dxa"/>
            <w:tcBorders>
              <w:top w:val="nil"/>
              <w:left w:val="nil"/>
              <w:bottom w:val="single" w:sz="24" w:space="0" w:color="auto"/>
              <w:right w:val="single" w:sz="4" w:space="0" w:color="auto"/>
            </w:tcBorders>
            <w:shd w:val="clear" w:color="auto" w:fill="auto"/>
            <w:noWrap/>
            <w:vAlign w:val="bottom"/>
            <w:hideMark/>
          </w:tcPr>
          <w:p w14:paraId="39478116" w14:textId="77777777" w:rsidR="000B6843" w:rsidRPr="001B1BBD" w:rsidRDefault="000B6843" w:rsidP="00DF55FD">
            <w:pPr>
              <w:rPr>
                <w:rFonts w:eastAsia="Times New Roman"/>
                <w:color w:val="000000"/>
                <w:sz w:val="20"/>
                <w:szCs w:val="20"/>
                <w:lang w:eastAsia="en-GB"/>
              </w:rPr>
            </w:pPr>
            <w:r w:rsidRPr="001B1BBD">
              <w:rPr>
                <w:rFonts w:eastAsia="Times New Roman"/>
                <w:color w:val="000000"/>
                <w:sz w:val="20"/>
                <w:szCs w:val="20"/>
                <w:lang w:eastAsia="en-GB"/>
              </w:rPr>
              <w:t> </w:t>
            </w:r>
          </w:p>
        </w:tc>
        <w:tc>
          <w:tcPr>
            <w:tcW w:w="2552" w:type="dxa"/>
            <w:tcBorders>
              <w:top w:val="nil"/>
              <w:left w:val="nil"/>
              <w:bottom w:val="single" w:sz="24" w:space="0" w:color="auto"/>
              <w:right w:val="single" w:sz="24" w:space="0" w:color="auto"/>
            </w:tcBorders>
          </w:tcPr>
          <w:p w14:paraId="07300AC7" w14:textId="77777777" w:rsidR="000B6843" w:rsidRPr="001B1BBD" w:rsidRDefault="000B6843" w:rsidP="00DF55FD">
            <w:pPr>
              <w:rPr>
                <w:rFonts w:eastAsia="Times New Roman"/>
                <w:color w:val="000000"/>
                <w:sz w:val="20"/>
                <w:szCs w:val="20"/>
                <w:lang w:eastAsia="en-GB"/>
              </w:rPr>
            </w:pPr>
          </w:p>
        </w:tc>
      </w:tr>
    </w:tbl>
    <w:p w14:paraId="6B3C82AD" w14:textId="4EB87B6B" w:rsidR="00DD2FC5" w:rsidRPr="0085750E" w:rsidRDefault="00DF55FD" w:rsidP="00FE616C">
      <w:pPr>
        <w:rPr>
          <w:b/>
          <w:color w:val="002060"/>
        </w:rPr>
      </w:pPr>
      <w:r w:rsidRPr="0085750E">
        <w:rPr>
          <w:b/>
          <w:color w:val="002060"/>
        </w:rPr>
        <w:t xml:space="preserve">Table 3: </w:t>
      </w:r>
      <w:r w:rsidR="0085750E" w:rsidRPr="0085750E">
        <w:rPr>
          <w:b/>
          <w:color w:val="002060"/>
        </w:rPr>
        <w:t>Summary of ‘Before’ and ‘After’ data relating to city-level indicators</w:t>
      </w:r>
    </w:p>
    <w:p w14:paraId="2B7BE741" w14:textId="73D0A9C6" w:rsidR="00BA6474" w:rsidRDefault="00BA6474" w:rsidP="00FE616C">
      <w:pPr>
        <w:rPr>
          <w:i/>
          <w:color w:val="002060"/>
        </w:rPr>
      </w:pPr>
    </w:p>
    <w:p w14:paraId="270E0A17" w14:textId="3CDF08BC" w:rsidR="00DF55FD" w:rsidRPr="0085750E" w:rsidRDefault="00DF55FD" w:rsidP="0085750E">
      <w:pPr>
        <w:spacing w:after="60"/>
        <w:rPr>
          <w:b/>
          <w:color w:val="002060"/>
        </w:rPr>
      </w:pPr>
      <w:r w:rsidRPr="0085750E">
        <w:rPr>
          <w:b/>
          <w:color w:val="002060"/>
        </w:rPr>
        <w:t xml:space="preserve">Table 4: </w:t>
      </w:r>
      <w:r w:rsidR="0085750E" w:rsidRPr="0085750E">
        <w:rPr>
          <w:b/>
          <w:color w:val="002060"/>
        </w:rPr>
        <w:t>Summary of quality of data relating to city-level indicators</w:t>
      </w:r>
    </w:p>
    <w:tbl>
      <w:tblPr>
        <w:tblW w:w="15276" w:type="dxa"/>
        <w:tblInd w:w="-113" w:type="dxa"/>
        <w:tblLook w:val="04A0" w:firstRow="1" w:lastRow="0" w:firstColumn="1" w:lastColumn="0" w:noHBand="0" w:noVBand="1"/>
      </w:tblPr>
      <w:tblGrid>
        <w:gridCol w:w="4077"/>
        <w:gridCol w:w="11199"/>
      </w:tblGrid>
      <w:tr w:rsidR="00D92B4D" w:rsidRPr="000B6843" w14:paraId="0D10EF6C" w14:textId="77777777" w:rsidTr="006111CC">
        <w:trPr>
          <w:trHeight w:val="310"/>
        </w:trPr>
        <w:tc>
          <w:tcPr>
            <w:tcW w:w="4077" w:type="dxa"/>
            <w:tcBorders>
              <w:top w:val="single" w:sz="4" w:space="0" w:color="auto"/>
              <w:left w:val="single" w:sz="4" w:space="0" w:color="auto"/>
              <w:right w:val="single" w:sz="18" w:space="0" w:color="auto"/>
            </w:tcBorders>
            <w:shd w:val="clear" w:color="auto" w:fill="auto"/>
            <w:noWrap/>
            <w:vAlign w:val="bottom"/>
          </w:tcPr>
          <w:p w14:paraId="4B637EB5" w14:textId="393979FF" w:rsidR="00D92B4D" w:rsidRPr="000B6843" w:rsidRDefault="00D92B4D" w:rsidP="0087006F">
            <w:pPr>
              <w:jc w:val="center"/>
              <w:rPr>
                <w:rFonts w:eastAsia="Times New Roman"/>
                <w:color w:val="000000"/>
                <w:szCs w:val="20"/>
                <w:lang w:eastAsia="en-GB"/>
              </w:rPr>
            </w:pPr>
            <w:r w:rsidRPr="001B1BBD">
              <w:rPr>
                <w:rFonts w:eastAsia="Times New Roman"/>
                <w:color w:val="000000"/>
                <w:sz w:val="20"/>
                <w:szCs w:val="20"/>
                <w:lang w:eastAsia="en-GB"/>
              </w:rPr>
              <w:t xml:space="preserve">Name of </w:t>
            </w:r>
            <w:r w:rsidR="006111CC">
              <w:rPr>
                <w:rFonts w:eastAsia="Times New Roman"/>
                <w:color w:val="000000"/>
                <w:sz w:val="20"/>
                <w:szCs w:val="20"/>
                <w:lang w:eastAsia="en-GB"/>
              </w:rPr>
              <w:t xml:space="preserve">city level </w:t>
            </w:r>
            <w:r w:rsidRPr="001B1BBD">
              <w:rPr>
                <w:rFonts w:eastAsia="Times New Roman"/>
                <w:color w:val="000000"/>
                <w:sz w:val="20"/>
                <w:szCs w:val="20"/>
                <w:lang w:eastAsia="en-GB"/>
              </w:rPr>
              <w:t>indicator</w:t>
            </w:r>
          </w:p>
        </w:tc>
        <w:tc>
          <w:tcPr>
            <w:tcW w:w="11199" w:type="dxa"/>
            <w:tcBorders>
              <w:top w:val="single" w:sz="18" w:space="0" w:color="auto"/>
              <w:left w:val="single" w:sz="18" w:space="0" w:color="auto"/>
              <w:bottom w:val="single" w:sz="18" w:space="0" w:color="auto"/>
              <w:right w:val="single" w:sz="18" w:space="0" w:color="auto"/>
            </w:tcBorders>
          </w:tcPr>
          <w:p w14:paraId="4300B447" w14:textId="77777777" w:rsidR="00D92B4D" w:rsidRPr="001B1BBD" w:rsidRDefault="00D92B4D" w:rsidP="00D92B4D">
            <w:pPr>
              <w:jc w:val="center"/>
              <w:rPr>
                <w:rFonts w:eastAsia="Times New Roman"/>
                <w:color w:val="000000"/>
                <w:sz w:val="20"/>
                <w:szCs w:val="20"/>
                <w:lang w:eastAsia="en-GB"/>
              </w:rPr>
            </w:pPr>
            <w:r w:rsidRPr="00D92B4D">
              <w:rPr>
                <w:sz w:val="20"/>
              </w:rPr>
              <w:t>comment on the quality/completeness of the data</w:t>
            </w:r>
          </w:p>
        </w:tc>
      </w:tr>
      <w:tr w:rsidR="00D92B4D" w:rsidRPr="001B1BBD" w14:paraId="3727D913" w14:textId="77777777" w:rsidTr="006111CC">
        <w:trPr>
          <w:trHeight w:val="340"/>
        </w:trPr>
        <w:tc>
          <w:tcPr>
            <w:tcW w:w="4077" w:type="dxa"/>
            <w:tcBorders>
              <w:top w:val="single" w:sz="8" w:space="0" w:color="auto"/>
              <w:left w:val="single" w:sz="8" w:space="0" w:color="auto"/>
              <w:bottom w:val="single" w:sz="8" w:space="0" w:color="000000"/>
              <w:right w:val="single" w:sz="18" w:space="0" w:color="auto"/>
            </w:tcBorders>
            <w:shd w:val="clear" w:color="auto" w:fill="auto"/>
            <w:noWrap/>
            <w:vAlign w:val="center"/>
            <w:hideMark/>
          </w:tcPr>
          <w:p w14:paraId="5DBDBDBA" w14:textId="77777777" w:rsidR="00D92B4D" w:rsidRPr="001B1BBD" w:rsidRDefault="00D92B4D" w:rsidP="0087006F">
            <w:pPr>
              <w:jc w:val="center"/>
              <w:rPr>
                <w:rFonts w:eastAsia="Times New Roman"/>
                <w:b/>
                <w:bCs/>
                <w:color w:val="000000"/>
                <w:sz w:val="20"/>
                <w:szCs w:val="20"/>
                <w:lang w:eastAsia="en-GB"/>
              </w:rPr>
            </w:pPr>
          </w:p>
        </w:tc>
        <w:tc>
          <w:tcPr>
            <w:tcW w:w="11199" w:type="dxa"/>
            <w:tcBorders>
              <w:top w:val="single" w:sz="18" w:space="0" w:color="auto"/>
              <w:left w:val="single" w:sz="18" w:space="0" w:color="auto"/>
              <w:bottom w:val="single" w:sz="8" w:space="0" w:color="000000"/>
              <w:right w:val="single" w:sz="18" w:space="0" w:color="auto"/>
            </w:tcBorders>
          </w:tcPr>
          <w:p w14:paraId="53246AF3" w14:textId="77777777" w:rsidR="00D92B4D" w:rsidRPr="001B1BBD" w:rsidRDefault="00D92B4D" w:rsidP="0087006F">
            <w:pPr>
              <w:jc w:val="center"/>
              <w:rPr>
                <w:rFonts w:eastAsia="Times New Roman"/>
                <w:b/>
                <w:bCs/>
                <w:color w:val="000000"/>
                <w:sz w:val="20"/>
                <w:szCs w:val="20"/>
                <w:lang w:eastAsia="en-GB"/>
              </w:rPr>
            </w:pPr>
          </w:p>
        </w:tc>
      </w:tr>
      <w:tr w:rsidR="00D92B4D" w:rsidRPr="001B1BBD" w14:paraId="71E0CD7C" w14:textId="77777777" w:rsidTr="006111CC">
        <w:trPr>
          <w:trHeight w:val="340"/>
        </w:trPr>
        <w:tc>
          <w:tcPr>
            <w:tcW w:w="4077" w:type="dxa"/>
            <w:tcBorders>
              <w:top w:val="single" w:sz="8" w:space="0" w:color="auto"/>
              <w:left w:val="single" w:sz="8" w:space="0" w:color="auto"/>
              <w:bottom w:val="single" w:sz="8" w:space="0" w:color="000000"/>
              <w:right w:val="single" w:sz="18" w:space="0" w:color="auto"/>
            </w:tcBorders>
            <w:shd w:val="clear" w:color="auto" w:fill="auto"/>
            <w:vAlign w:val="center"/>
            <w:hideMark/>
          </w:tcPr>
          <w:p w14:paraId="0EBF7DDB" w14:textId="77777777" w:rsidR="00D92B4D" w:rsidRPr="001B1BBD" w:rsidRDefault="00D92B4D" w:rsidP="0087006F">
            <w:pPr>
              <w:rPr>
                <w:rFonts w:eastAsia="Times New Roman"/>
                <w:b/>
                <w:bCs/>
                <w:color w:val="000000"/>
                <w:sz w:val="20"/>
                <w:szCs w:val="20"/>
                <w:lang w:eastAsia="en-GB"/>
              </w:rPr>
            </w:pPr>
          </w:p>
        </w:tc>
        <w:tc>
          <w:tcPr>
            <w:tcW w:w="11199" w:type="dxa"/>
            <w:tcBorders>
              <w:top w:val="single" w:sz="8" w:space="0" w:color="000000"/>
              <w:left w:val="single" w:sz="18" w:space="0" w:color="auto"/>
              <w:bottom w:val="single" w:sz="8" w:space="0" w:color="000000"/>
              <w:right w:val="single" w:sz="18" w:space="0" w:color="auto"/>
            </w:tcBorders>
          </w:tcPr>
          <w:p w14:paraId="634BE6C4" w14:textId="77777777" w:rsidR="00D92B4D" w:rsidRPr="001B1BBD" w:rsidRDefault="00D92B4D" w:rsidP="0087006F">
            <w:pPr>
              <w:rPr>
                <w:rFonts w:eastAsia="Times New Roman"/>
                <w:b/>
                <w:bCs/>
                <w:color w:val="000000"/>
                <w:sz w:val="20"/>
                <w:szCs w:val="20"/>
                <w:lang w:eastAsia="en-GB"/>
              </w:rPr>
            </w:pPr>
          </w:p>
        </w:tc>
      </w:tr>
      <w:tr w:rsidR="00D92B4D" w:rsidRPr="001B1BBD" w14:paraId="58C5A840" w14:textId="77777777" w:rsidTr="006111CC">
        <w:trPr>
          <w:trHeight w:val="340"/>
        </w:trPr>
        <w:tc>
          <w:tcPr>
            <w:tcW w:w="4077" w:type="dxa"/>
            <w:tcBorders>
              <w:top w:val="single" w:sz="8" w:space="0" w:color="auto"/>
              <w:left w:val="single" w:sz="8" w:space="0" w:color="auto"/>
              <w:bottom w:val="single" w:sz="8" w:space="0" w:color="000000"/>
              <w:right w:val="single" w:sz="18" w:space="0" w:color="auto"/>
            </w:tcBorders>
            <w:shd w:val="clear" w:color="auto" w:fill="auto"/>
            <w:vAlign w:val="center"/>
            <w:hideMark/>
          </w:tcPr>
          <w:p w14:paraId="5837F78B" w14:textId="77777777" w:rsidR="00D92B4D" w:rsidRPr="001B1BBD" w:rsidRDefault="00D92B4D" w:rsidP="0087006F">
            <w:pPr>
              <w:rPr>
                <w:rFonts w:eastAsia="Times New Roman"/>
                <w:b/>
                <w:bCs/>
                <w:color w:val="000000"/>
                <w:sz w:val="20"/>
                <w:szCs w:val="20"/>
                <w:lang w:eastAsia="en-GB"/>
              </w:rPr>
            </w:pPr>
          </w:p>
        </w:tc>
        <w:tc>
          <w:tcPr>
            <w:tcW w:w="11199" w:type="dxa"/>
            <w:tcBorders>
              <w:top w:val="single" w:sz="8" w:space="0" w:color="000000"/>
              <w:left w:val="single" w:sz="18" w:space="0" w:color="auto"/>
              <w:bottom w:val="single" w:sz="8" w:space="0" w:color="000000"/>
              <w:right w:val="single" w:sz="18" w:space="0" w:color="auto"/>
            </w:tcBorders>
          </w:tcPr>
          <w:p w14:paraId="7620861B" w14:textId="77777777" w:rsidR="00D92B4D" w:rsidRPr="001B1BBD" w:rsidRDefault="00D92B4D" w:rsidP="0087006F">
            <w:pPr>
              <w:rPr>
                <w:rFonts w:eastAsia="Times New Roman"/>
                <w:b/>
                <w:bCs/>
                <w:color w:val="000000"/>
                <w:sz w:val="20"/>
                <w:szCs w:val="20"/>
                <w:lang w:eastAsia="en-GB"/>
              </w:rPr>
            </w:pPr>
          </w:p>
        </w:tc>
      </w:tr>
      <w:tr w:rsidR="00DD2FC5" w:rsidRPr="001B1BBD" w14:paraId="73BE0607" w14:textId="77777777" w:rsidTr="006111CC">
        <w:trPr>
          <w:trHeight w:val="340"/>
        </w:trPr>
        <w:tc>
          <w:tcPr>
            <w:tcW w:w="4077" w:type="dxa"/>
            <w:tcBorders>
              <w:top w:val="single" w:sz="8" w:space="0" w:color="auto"/>
              <w:left w:val="single" w:sz="8" w:space="0" w:color="auto"/>
              <w:bottom w:val="single" w:sz="8" w:space="0" w:color="000000"/>
              <w:right w:val="single" w:sz="18" w:space="0" w:color="auto"/>
            </w:tcBorders>
            <w:shd w:val="clear" w:color="auto" w:fill="auto"/>
            <w:vAlign w:val="center"/>
          </w:tcPr>
          <w:p w14:paraId="4FE2C7B2" w14:textId="77777777" w:rsidR="00DD2FC5" w:rsidRPr="001B1BBD" w:rsidRDefault="00DD2FC5" w:rsidP="0087006F">
            <w:pPr>
              <w:rPr>
                <w:rFonts w:eastAsia="Times New Roman"/>
                <w:b/>
                <w:bCs/>
                <w:color w:val="000000"/>
                <w:sz w:val="20"/>
                <w:szCs w:val="20"/>
                <w:lang w:eastAsia="en-GB"/>
              </w:rPr>
            </w:pPr>
          </w:p>
        </w:tc>
        <w:tc>
          <w:tcPr>
            <w:tcW w:w="11199" w:type="dxa"/>
            <w:tcBorders>
              <w:top w:val="single" w:sz="8" w:space="0" w:color="000000"/>
              <w:left w:val="single" w:sz="18" w:space="0" w:color="auto"/>
              <w:bottom w:val="single" w:sz="8" w:space="0" w:color="000000"/>
              <w:right w:val="single" w:sz="18" w:space="0" w:color="auto"/>
            </w:tcBorders>
          </w:tcPr>
          <w:p w14:paraId="4A13C6CA" w14:textId="77777777" w:rsidR="00DD2FC5" w:rsidRPr="001B1BBD" w:rsidRDefault="00DD2FC5" w:rsidP="0087006F">
            <w:pPr>
              <w:rPr>
                <w:rFonts w:eastAsia="Times New Roman"/>
                <w:b/>
                <w:bCs/>
                <w:color w:val="000000"/>
                <w:sz w:val="20"/>
                <w:szCs w:val="20"/>
                <w:lang w:eastAsia="en-GB"/>
              </w:rPr>
            </w:pPr>
          </w:p>
        </w:tc>
      </w:tr>
      <w:tr w:rsidR="00DD2FC5" w:rsidRPr="001B1BBD" w14:paraId="689AB1FD" w14:textId="77777777" w:rsidTr="006111CC">
        <w:trPr>
          <w:trHeight w:val="340"/>
        </w:trPr>
        <w:tc>
          <w:tcPr>
            <w:tcW w:w="4077" w:type="dxa"/>
            <w:tcBorders>
              <w:top w:val="single" w:sz="8" w:space="0" w:color="auto"/>
              <w:left w:val="single" w:sz="8" w:space="0" w:color="auto"/>
              <w:bottom w:val="single" w:sz="8" w:space="0" w:color="000000"/>
              <w:right w:val="single" w:sz="18" w:space="0" w:color="auto"/>
            </w:tcBorders>
            <w:shd w:val="clear" w:color="auto" w:fill="auto"/>
            <w:vAlign w:val="center"/>
          </w:tcPr>
          <w:p w14:paraId="5BFA21CB" w14:textId="77777777" w:rsidR="00DD2FC5" w:rsidRPr="001B1BBD" w:rsidRDefault="00DD2FC5" w:rsidP="0087006F">
            <w:pPr>
              <w:rPr>
                <w:rFonts w:eastAsia="Times New Roman"/>
                <w:b/>
                <w:bCs/>
                <w:color w:val="000000"/>
                <w:sz w:val="20"/>
                <w:szCs w:val="20"/>
                <w:lang w:eastAsia="en-GB"/>
              </w:rPr>
            </w:pPr>
          </w:p>
        </w:tc>
        <w:tc>
          <w:tcPr>
            <w:tcW w:w="11199" w:type="dxa"/>
            <w:tcBorders>
              <w:top w:val="single" w:sz="8" w:space="0" w:color="000000"/>
              <w:left w:val="single" w:sz="18" w:space="0" w:color="auto"/>
              <w:bottom w:val="single" w:sz="8" w:space="0" w:color="000000"/>
              <w:right w:val="single" w:sz="18" w:space="0" w:color="auto"/>
            </w:tcBorders>
          </w:tcPr>
          <w:p w14:paraId="25EF4E47" w14:textId="77777777" w:rsidR="00DD2FC5" w:rsidRPr="001B1BBD" w:rsidRDefault="00DD2FC5" w:rsidP="0087006F">
            <w:pPr>
              <w:rPr>
                <w:rFonts w:eastAsia="Times New Roman"/>
                <w:b/>
                <w:bCs/>
                <w:color w:val="000000"/>
                <w:sz w:val="20"/>
                <w:szCs w:val="20"/>
                <w:lang w:eastAsia="en-GB"/>
              </w:rPr>
            </w:pPr>
          </w:p>
        </w:tc>
      </w:tr>
      <w:tr w:rsidR="00DD2FC5" w:rsidRPr="001B1BBD" w14:paraId="66E060DC" w14:textId="77777777" w:rsidTr="006111CC">
        <w:trPr>
          <w:trHeight w:val="340"/>
        </w:trPr>
        <w:tc>
          <w:tcPr>
            <w:tcW w:w="4077" w:type="dxa"/>
            <w:tcBorders>
              <w:top w:val="single" w:sz="8" w:space="0" w:color="auto"/>
              <w:left w:val="single" w:sz="8" w:space="0" w:color="auto"/>
              <w:bottom w:val="single" w:sz="8" w:space="0" w:color="000000"/>
              <w:right w:val="single" w:sz="18" w:space="0" w:color="auto"/>
            </w:tcBorders>
            <w:shd w:val="clear" w:color="auto" w:fill="auto"/>
            <w:vAlign w:val="center"/>
          </w:tcPr>
          <w:p w14:paraId="143742BA" w14:textId="77777777" w:rsidR="00DD2FC5" w:rsidRPr="001B1BBD" w:rsidRDefault="00DD2FC5" w:rsidP="0087006F">
            <w:pPr>
              <w:rPr>
                <w:rFonts w:eastAsia="Times New Roman"/>
                <w:b/>
                <w:bCs/>
                <w:color w:val="000000"/>
                <w:sz w:val="20"/>
                <w:szCs w:val="20"/>
                <w:lang w:eastAsia="en-GB"/>
              </w:rPr>
            </w:pPr>
          </w:p>
        </w:tc>
        <w:tc>
          <w:tcPr>
            <w:tcW w:w="11199" w:type="dxa"/>
            <w:tcBorders>
              <w:top w:val="single" w:sz="8" w:space="0" w:color="000000"/>
              <w:left w:val="single" w:sz="18" w:space="0" w:color="auto"/>
              <w:bottom w:val="single" w:sz="8" w:space="0" w:color="000000"/>
              <w:right w:val="single" w:sz="18" w:space="0" w:color="auto"/>
            </w:tcBorders>
          </w:tcPr>
          <w:p w14:paraId="2707875A" w14:textId="77777777" w:rsidR="00DD2FC5" w:rsidRPr="001B1BBD" w:rsidRDefault="00DD2FC5" w:rsidP="0087006F">
            <w:pPr>
              <w:rPr>
                <w:rFonts w:eastAsia="Times New Roman"/>
                <w:b/>
                <w:bCs/>
                <w:color w:val="000000"/>
                <w:sz w:val="20"/>
                <w:szCs w:val="20"/>
                <w:lang w:eastAsia="en-GB"/>
              </w:rPr>
            </w:pPr>
          </w:p>
        </w:tc>
      </w:tr>
      <w:tr w:rsidR="00D92B4D" w:rsidRPr="001B1BBD" w14:paraId="4EBBC962" w14:textId="77777777" w:rsidTr="006111CC">
        <w:trPr>
          <w:trHeight w:val="340"/>
        </w:trPr>
        <w:tc>
          <w:tcPr>
            <w:tcW w:w="4077" w:type="dxa"/>
            <w:tcBorders>
              <w:top w:val="single" w:sz="8" w:space="0" w:color="auto"/>
              <w:left w:val="single" w:sz="8" w:space="0" w:color="auto"/>
              <w:bottom w:val="single" w:sz="8" w:space="0" w:color="000000"/>
              <w:right w:val="single" w:sz="18" w:space="0" w:color="auto"/>
            </w:tcBorders>
            <w:shd w:val="clear" w:color="auto" w:fill="auto"/>
            <w:vAlign w:val="center"/>
            <w:hideMark/>
          </w:tcPr>
          <w:p w14:paraId="31D49590" w14:textId="77777777" w:rsidR="00D92B4D" w:rsidRPr="001B1BBD" w:rsidRDefault="00D92B4D" w:rsidP="0087006F">
            <w:pPr>
              <w:rPr>
                <w:rFonts w:eastAsia="Times New Roman"/>
                <w:b/>
                <w:bCs/>
                <w:color w:val="000000"/>
                <w:sz w:val="20"/>
                <w:szCs w:val="20"/>
                <w:lang w:eastAsia="en-GB"/>
              </w:rPr>
            </w:pPr>
          </w:p>
        </w:tc>
        <w:tc>
          <w:tcPr>
            <w:tcW w:w="11199" w:type="dxa"/>
            <w:tcBorders>
              <w:top w:val="single" w:sz="8" w:space="0" w:color="000000"/>
              <w:left w:val="single" w:sz="18" w:space="0" w:color="auto"/>
              <w:bottom w:val="single" w:sz="8" w:space="0" w:color="000000"/>
              <w:right w:val="single" w:sz="18" w:space="0" w:color="auto"/>
            </w:tcBorders>
          </w:tcPr>
          <w:p w14:paraId="437A87E2" w14:textId="77777777" w:rsidR="00D92B4D" w:rsidRPr="001B1BBD" w:rsidRDefault="00D92B4D" w:rsidP="0087006F">
            <w:pPr>
              <w:rPr>
                <w:rFonts w:eastAsia="Times New Roman"/>
                <w:b/>
                <w:bCs/>
                <w:color w:val="000000"/>
                <w:sz w:val="20"/>
                <w:szCs w:val="20"/>
                <w:lang w:eastAsia="en-GB"/>
              </w:rPr>
            </w:pPr>
          </w:p>
        </w:tc>
      </w:tr>
      <w:tr w:rsidR="00D92B4D" w:rsidRPr="001B1BBD" w14:paraId="246A43BF" w14:textId="77777777" w:rsidTr="006111CC">
        <w:trPr>
          <w:trHeight w:val="340"/>
        </w:trPr>
        <w:tc>
          <w:tcPr>
            <w:tcW w:w="4077" w:type="dxa"/>
            <w:tcBorders>
              <w:top w:val="single" w:sz="8" w:space="0" w:color="auto"/>
              <w:left w:val="single" w:sz="8" w:space="0" w:color="auto"/>
              <w:bottom w:val="single" w:sz="8" w:space="0" w:color="000000"/>
              <w:right w:val="single" w:sz="18" w:space="0" w:color="auto"/>
            </w:tcBorders>
            <w:shd w:val="clear" w:color="auto" w:fill="auto"/>
            <w:vAlign w:val="center"/>
            <w:hideMark/>
          </w:tcPr>
          <w:p w14:paraId="15299E1B" w14:textId="77777777" w:rsidR="00D92B4D" w:rsidRPr="001B1BBD" w:rsidRDefault="00D92B4D" w:rsidP="0087006F">
            <w:pPr>
              <w:rPr>
                <w:rFonts w:eastAsia="Times New Roman"/>
                <w:b/>
                <w:bCs/>
                <w:color w:val="000000"/>
                <w:sz w:val="20"/>
                <w:szCs w:val="20"/>
                <w:lang w:eastAsia="en-GB"/>
              </w:rPr>
            </w:pPr>
          </w:p>
        </w:tc>
        <w:tc>
          <w:tcPr>
            <w:tcW w:w="11199" w:type="dxa"/>
            <w:tcBorders>
              <w:top w:val="single" w:sz="8" w:space="0" w:color="000000"/>
              <w:left w:val="single" w:sz="18" w:space="0" w:color="auto"/>
              <w:bottom w:val="single" w:sz="18" w:space="0" w:color="auto"/>
              <w:right w:val="single" w:sz="18" w:space="0" w:color="auto"/>
            </w:tcBorders>
          </w:tcPr>
          <w:p w14:paraId="78A31BB1" w14:textId="77777777" w:rsidR="00D92B4D" w:rsidRPr="001B1BBD" w:rsidRDefault="00D92B4D" w:rsidP="0087006F">
            <w:pPr>
              <w:rPr>
                <w:rFonts w:eastAsia="Times New Roman"/>
                <w:b/>
                <w:bCs/>
                <w:color w:val="000000"/>
                <w:sz w:val="20"/>
                <w:szCs w:val="20"/>
                <w:lang w:eastAsia="en-GB"/>
              </w:rPr>
            </w:pPr>
          </w:p>
        </w:tc>
      </w:tr>
    </w:tbl>
    <w:p w14:paraId="1BB5C656" w14:textId="77777777" w:rsidR="00BA6474" w:rsidRDefault="00BA6474" w:rsidP="00FE616C">
      <w:pPr>
        <w:rPr>
          <w:i/>
          <w:color w:val="002060"/>
        </w:rPr>
      </w:pPr>
    </w:p>
    <w:p w14:paraId="67DD8FD2" w14:textId="77777777" w:rsidR="00BA3486" w:rsidRDefault="00BA3486" w:rsidP="00FE616C">
      <w:pPr>
        <w:rPr>
          <w:i/>
          <w:color w:val="002060"/>
        </w:rPr>
        <w:sectPr w:rsidR="00BA3486" w:rsidSect="00BA3486">
          <w:pgSz w:w="16838" w:h="11906" w:orient="landscape"/>
          <w:pgMar w:top="1440" w:right="1440" w:bottom="1440" w:left="1440" w:header="708" w:footer="708" w:gutter="0"/>
          <w:cols w:space="708"/>
          <w:docGrid w:linePitch="360"/>
        </w:sectPr>
      </w:pPr>
    </w:p>
    <w:p w14:paraId="7649D30C" w14:textId="77777777" w:rsidR="0057598F" w:rsidRPr="00AB7E88" w:rsidRDefault="00AB7E88" w:rsidP="00AB7E88">
      <w:pPr>
        <w:pStyle w:val="Heading1"/>
        <w:numPr>
          <w:ilvl w:val="0"/>
          <w:numId w:val="3"/>
        </w:numPr>
      </w:pPr>
      <w:r>
        <w:t xml:space="preserve">Explaining the change in city level indicator values </w:t>
      </w:r>
    </w:p>
    <w:p w14:paraId="09326986" w14:textId="77777777" w:rsidR="0057598F" w:rsidRDefault="0057598F" w:rsidP="00FE616C">
      <w:pPr>
        <w:rPr>
          <w:i/>
          <w:color w:val="002060"/>
        </w:rPr>
      </w:pPr>
    </w:p>
    <w:p w14:paraId="6E06FE63" w14:textId="77777777" w:rsidR="001D5484" w:rsidRDefault="001D5484" w:rsidP="00AB7E88">
      <w:pPr>
        <w:rPr>
          <w:i/>
          <w:color w:val="002060"/>
        </w:rPr>
      </w:pPr>
      <w:r>
        <w:rPr>
          <w:i/>
          <w:color w:val="002060"/>
        </w:rPr>
        <w:t xml:space="preserve">Changes in indicator values between the ‘before’ and ‘after’ points in time can be due to a number of reasons. </w:t>
      </w:r>
      <w:r w:rsidR="004F5EAE">
        <w:rPr>
          <w:i/>
          <w:color w:val="002060"/>
        </w:rPr>
        <w:t xml:space="preserve">The three key reasons are: </w:t>
      </w:r>
    </w:p>
    <w:p w14:paraId="1D5A0B76" w14:textId="77777777" w:rsidR="001D5484" w:rsidRDefault="001D5484" w:rsidP="00AB7E88">
      <w:pPr>
        <w:rPr>
          <w:i/>
          <w:color w:val="002060"/>
        </w:rPr>
      </w:pPr>
    </w:p>
    <w:p w14:paraId="22766C22" w14:textId="38B89694" w:rsidR="004F5EAE" w:rsidRDefault="001D5484" w:rsidP="004F5EAE">
      <w:pPr>
        <w:pStyle w:val="ListParagraph"/>
        <w:numPr>
          <w:ilvl w:val="0"/>
          <w:numId w:val="10"/>
        </w:numPr>
        <w:rPr>
          <w:i/>
          <w:color w:val="002060"/>
        </w:rPr>
      </w:pPr>
      <w:r w:rsidRPr="004F5EAE">
        <w:rPr>
          <w:i/>
          <w:color w:val="002060"/>
        </w:rPr>
        <w:t>There may be underlying trends which are affecting the data values (for instance CO</w:t>
      </w:r>
      <w:r w:rsidRPr="004F5EAE">
        <w:rPr>
          <w:i/>
          <w:color w:val="002060"/>
          <w:vertAlign w:val="subscript"/>
        </w:rPr>
        <w:t xml:space="preserve">2 </w:t>
      </w:r>
      <w:r w:rsidRPr="004F5EAE">
        <w:rPr>
          <w:i/>
          <w:color w:val="002060"/>
        </w:rPr>
        <w:t>emissions may show a reducing trend as a result in the improvement in vehicle engine standards between 2015 and 2020</w:t>
      </w:r>
      <w:r w:rsidR="006111CC">
        <w:rPr>
          <w:i/>
          <w:color w:val="002060"/>
        </w:rPr>
        <w:t xml:space="preserve"> which may be either amplified by an accompanying reduction on car use or dampened by increases in car use</w:t>
      </w:r>
      <w:r w:rsidRPr="004F5EAE">
        <w:rPr>
          <w:i/>
          <w:color w:val="002060"/>
        </w:rPr>
        <w:t xml:space="preserve">). </w:t>
      </w:r>
      <w:r w:rsidR="004F5EAE" w:rsidRPr="004F5EAE">
        <w:rPr>
          <w:i/>
          <w:color w:val="002060"/>
        </w:rPr>
        <w:t>Other significant trends may relate to a change in soci</w:t>
      </w:r>
      <w:r w:rsidR="006111CC">
        <w:rPr>
          <w:i/>
          <w:color w:val="002060"/>
        </w:rPr>
        <w:t xml:space="preserve">etal attitudes towards cycling. </w:t>
      </w:r>
      <w:r w:rsidR="004F5EAE" w:rsidRPr="004F5EAE">
        <w:rPr>
          <w:i/>
          <w:color w:val="002060"/>
        </w:rPr>
        <w:t>These types of trends, those which are likely to have some impact on changes in the indicator values, need to be identified and their level of impact</w:t>
      </w:r>
      <w:r w:rsidR="00DD2FC5">
        <w:rPr>
          <w:i/>
          <w:color w:val="002060"/>
        </w:rPr>
        <w:t xml:space="preserve"> between the ‘before’ and ‘after’ dates a</w:t>
      </w:r>
      <w:r w:rsidR="004F5EAE" w:rsidRPr="004F5EAE">
        <w:rPr>
          <w:i/>
          <w:color w:val="002060"/>
        </w:rPr>
        <w:t xml:space="preserve">ssessed.   </w:t>
      </w:r>
      <w:r w:rsidRPr="004F5EAE">
        <w:rPr>
          <w:i/>
          <w:color w:val="002060"/>
        </w:rPr>
        <w:t xml:space="preserve"> </w:t>
      </w:r>
    </w:p>
    <w:p w14:paraId="341F2C05" w14:textId="77777777" w:rsidR="004F5EAE" w:rsidRDefault="004F5EAE" w:rsidP="004F5EAE">
      <w:pPr>
        <w:pStyle w:val="ListParagraph"/>
        <w:rPr>
          <w:i/>
          <w:color w:val="002060"/>
        </w:rPr>
      </w:pPr>
    </w:p>
    <w:p w14:paraId="2AE8833A" w14:textId="55922F38" w:rsidR="004F5EAE" w:rsidRDefault="004F5EAE" w:rsidP="0087006F">
      <w:pPr>
        <w:pStyle w:val="ListParagraph"/>
        <w:numPr>
          <w:ilvl w:val="0"/>
          <w:numId w:val="10"/>
        </w:numPr>
        <w:rPr>
          <w:i/>
          <w:color w:val="002060"/>
        </w:rPr>
      </w:pPr>
      <w:r w:rsidRPr="004F5EAE">
        <w:rPr>
          <w:i/>
          <w:color w:val="002060"/>
        </w:rPr>
        <w:t xml:space="preserve">Other factors which may contribute towards the change in indicator values are major projects or initiatives, external to PORTIS, that are happening concurrently and that contribute to changes in the indicator values between the ‘before’ and ‘after’ </w:t>
      </w:r>
      <w:r w:rsidR="00DD2FC5">
        <w:rPr>
          <w:i/>
          <w:color w:val="002060"/>
        </w:rPr>
        <w:t>dates</w:t>
      </w:r>
      <w:r w:rsidRPr="004F5EAE">
        <w:rPr>
          <w:i/>
          <w:color w:val="002060"/>
        </w:rPr>
        <w:t xml:space="preserve">.   </w:t>
      </w:r>
    </w:p>
    <w:p w14:paraId="34FEFF85" w14:textId="77777777" w:rsidR="004F5EAE" w:rsidRPr="004F5EAE" w:rsidRDefault="004F5EAE" w:rsidP="004F5EAE">
      <w:pPr>
        <w:pStyle w:val="ListParagraph"/>
        <w:rPr>
          <w:i/>
          <w:color w:val="002060"/>
        </w:rPr>
      </w:pPr>
    </w:p>
    <w:p w14:paraId="359D54AE" w14:textId="3A04F8BB" w:rsidR="00AB7E88" w:rsidRPr="004F5EAE" w:rsidRDefault="00AB7E88" w:rsidP="0087006F">
      <w:pPr>
        <w:pStyle w:val="ListParagraph"/>
        <w:numPr>
          <w:ilvl w:val="0"/>
          <w:numId w:val="10"/>
        </w:numPr>
        <w:rPr>
          <w:i/>
          <w:color w:val="002060"/>
        </w:rPr>
      </w:pPr>
      <w:r w:rsidRPr="004F5EAE">
        <w:rPr>
          <w:i/>
          <w:color w:val="002060"/>
        </w:rPr>
        <w:t xml:space="preserve">PORTIS measures </w:t>
      </w:r>
      <w:r w:rsidR="004F5EAE">
        <w:rPr>
          <w:i/>
          <w:color w:val="002060"/>
        </w:rPr>
        <w:t xml:space="preserve">which </w:t>
      </w:r>
      <w:r w:rsidRPr="004F5EAE">
        <w:rPr>
          <w:i/>
          <w:color w:val="002060"/>
        </w:rPr>
        <w:t>contribute to the change in indicator values</w:t>
      </w:r>
      <w:r w:rsidR="00DD2FC5">
        <w:rPr>
          <w:i/>
          <w:color w:val="002060"/>
        </w:rPr>
        <w:t xml:space="preserve"> </w:t>
      </w:r>
      <w:r w:rsidR="00DD2FC5" w:rsidRPr="004F5EAE">
        <w:rPr>
          <w:i/>
          <w:color w:val="002060"/>
        </w:rPr>
        <w:t xml:space="preserve">between the ‘before’ and ‘after’ </w:t>
      </w:r>
      <w:r w:rsidR="00DD2FC5">
        <w:rPr>
          <w:i/>
          <w:color w:val="002060"/>
        </w:rPr>
        <w:t xml:space="preserve">dates. </w:t>
      </w:r>
      <w:r w:rsidR="006D0BD8">
        <w:rPr>
          <w:i/>
          <w:color w:val="002060"/>
        </w:rPr>
        <w:t xml:space="preserve">In many instances several PORTIS measures may be contributing to a change in the measured indicator value </w:t>
      </w:r>
      <w:r w:rsidR="006D0BD8" w:rsidRPr="004F5EAE">
        <w:rPr>
          <w:i/>
          <w:color w:val="002060"/>
        </w:rPr>
        <w:t>between the ‘before’ and ‘after’ periods</w:t>
      </w:r>
      <w:r w:rsidR="006D0BD8">
        <w:rPr>
          <w:i/>
          <w:color w:val="002060"/>
        </w:rPr>
        <w:t xml:space="preserve">.  </w:t>
      </w:r>
    </w:p>
    <w:p w14:paraId="6FC65600" w14:textId="6BC6DFDE" w:rsidR="00AB7E88" w:rsidRDefault="00AB7E88" w:rsidP="00FE616C">
      <w:pPr>
        <w:rPr>
          <w:i/>
          <w:color w:val="002060"/>
        </w:rPr>
      </w:pPr>
    </w:p>
    <w:p w14:paraId="478741DB" w14:textId="2C81141C" w:rsidR="00DD2FC5" w:rsidRDefault="00DD2FC5" w:rsidP="00FE616C">
      <w:pPr>
        <w:rPr>
          <w:i/>
          <w:color w:val="002060"/>
        </w:rPr>
      </w:pPr>
      <w:r>
        <w:rPr>
          <w:i/>
          <w:color w:val="002060"/>
        </w:rPr>
        <w:t xml:space="preserve">The first 2 of these define the Business as Usual scenario. See Figure </w:t>
      </w:r>
      <w:r w:rsidR="009862F7">
        <w:rPr>
          <w:i/>
          <w:color w:val="002060"/>
        </w:rPr>
        <w:t xml:space="preserve">1. </w:t>
      </w:r>
      <w:r>
        <w:rPr>
          <w:i/>
          <w:color w:val="002060"/>
        </w:rPr>
        <w:t xml:space="preserve">   </w:t>
      </w:r>
    </w:p>
    <w:p w14:paraId="3C96F43F" w14:textId="021E1BDF" w:rsidR="00DD2FC5" w:rsidRDefault="00DD2FC5" w:rsidP="00FE616C">
      <w:pPr>
        <w:rPr>
          <w:i/>
          <w:color w:val="002060"/>
        </w:rPr>
      </w:pPr>
    </w:p>
    <w:p w14:paraId="581FF401" w14:textId="3AE56242" w:rsidR="00DD2FC5" w:rsidRDefault="009862F7" w:rsidP="00FE616C">
      <w:pPr>
        <w:rPr>
          <w:i/>
          <w:color w:val="002060"/>
        </w:rPr>
      </w:pPr>
      <w:r w:rsidRPr="009862F7">
        <w:rPr>
          <w:b/>
          <w:i/>
          <w:color w:val="002060"/>
        </w:rPr>
        <w:t>Figure 1: Illustration of the factors that contribute to changes in indicator value (KPI) between the ‘before’ and ‘after’ points in time</w:t>
      </w:r>
      <w:r>
        <w:rPr>
          <w:i/>
          <w:color w:val="002060"/>
        </w:rPr>
        <w:t xml:space="preserve"> </w:t>
      </w:r>
      <w:r w:rsidR="00DD2FC5">
        <w:rPr>
          <w:noProof/>
          <w:lang w:eastAsia="en-GB"/>
        </w:rPr>
        <w:drawing>
          <wp:inline distT="0" distB="0" distL="0" distR="0" wp14:anchorId="074E3C40" wp14:editId="5EC06750">
            <wp:extent cx="5223753" cy="2159540"/>
            <wp:effectExtent l="0" t="0" r="0" b="0"/>
            <wp:docPr id="1" name="Picture 1">
              <a:extLst xmlns:a="http://schemas.openxmlformats.org/drawingml/2006/main">
                <a:ext uri="{FF2B5EF4-FFF2-40B4-BE49-F238E27FC236}">
                  <a16:creationId xmlns:a16="http://schemas.microsoft.com/office/drawing/2014/main" id="{B50B1753-CC43-4B70-BB8C-A4AC3DA6525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50B1753-CC43-4B70-BB8C-A4AC3DA65258}"/>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44" cy="2165738"/>
                    </a:xfrm>
                    <a:prstGeom prst="rect">
                      <a:avLst/>
                    </a:prstGeom>
                    <a:noFill/>
                  </pic:spPr>
                </pic:pic>
              </a:graphicData>
            </a:graphic>
          </wp:inline>
        </w:drawing>
      </w:r>
    </w:p>
    <w:p w14:paraId="26DE2015" w14:textId="5466FFE1" w:rsidR="0057598F" w:rsidRDefault="0057598F" w:rsidP="00FE616C">
      <w:pPr>
        <w:rPr>
          <w:i/>
          <w:color w:val="002060"/>
        </w:rPr>
      </w:pPr>
    </w:p>
    <w:p w14:paraId="2E698AFF" w14:textId="7B9075A4" w:rsidR="00B66A3D" w:rsidRDefault="006D0BD8" w:rsidP="00FE616C">
      <w:pPr>
        <w:rPr>
          <w:i/>
          <w:color w:val="002060"/>
        </w:rPr>
      </w:pPr>
      <w:r>
        <w:rPr>
          <w:i/>
          <w:color w:val="002060"/>
        </w:rPr>
        <w:t xml:space="preserve">While the change in indicator </w:t>
      </w:r>
      <w:r w:rsidR="00DD2FC5">
        <w:rPr>
          <w:i/>
          <w:color w:val="002060"/>
        </w:rPr>
        <w:t xml:space="preserve">(KPI) </w:t>
      </w:r>
      <w:r>
        <w:rPr>
          <w:i/>
          <w:color w:val="002060"/>
        </w:rPr>
        <w:t xml:space="preserve">value between the </w:t>
      </w:r>
      <w:r w:rsidR="00DD2FC5">
        <w:rPr>
          <w:i/>
          <w:color w:val="002060"/>
        </w:rPr>
        <w:t>‘</w:t>
      </w:r>
      <w:r>
        <w:rPr>
          <w:i/>
          <w:color w:val="002060"/>
        </w:rPr>
        <w:t>before</w:t>
      </w:r>
      <w:r w:rsidR="00DD2FC5">
        <w:rPr>
          <w:i/>
          <w:color w:val="002060"/>
        </w:rPr>
        <w:t>’</w:t>
      </w:r>
      <w:r>
        <w:rPr>
          <w:i/>
          <w:color w:val="002060"/>
        </w:rPr>
        <w:t xml:space="preserve"> </w:t>
      </w:r>
      <w:r w:rsidRPr="004F5EAE">
        <w:rPr>
          <w:i/>
          <w:color w:val="002060"/>
        </w:rPr>
        <w:t>and ‘after’ periods</w:t>
      </w:r>
      <w:r>
        <w:rPr>
          <w:i/>
          <w:color w:val="002060"/>
        </w:rPr>
        <w:t xml:space="preserve"> can be measured, it is impossible to accurately quantify the impact that each of these reasons (i.e. trends, external factors, PORTIS measures) contributes to the measur</w:t>
      </w:r>
      <w:r w:rsidR="00A65A48">
        <w:rPr>
          <w:i/>
          <w:color w:val="002060"/>
        </w:rPr>
        <w:t xml:space="preserve">ed change in indicator value. </w:t>
      </w:r>
      <w:r>
        <w:rPr>
          <w:i/>
          <w:color w:val="002060"/>
        </w:rPr>
        <w:t>It is therefore necessary to rely on expert opinion from stakeholders involved in strategic planning and implementing both external projects</w:t>
      </w:r>
      <w:r w:rsidR="00C16A0C">
        <w:rPr>
          <w:i/>
          <w:color w:val="002060"/>
        </w:rPr>
        <w:t>/i</w:t>
      </w:r>
      <w:r>
        <w:rPr>
          <w:i/>
          <w:color w:val="002060"/>
        </w:rPr>
        <w:t xml:space="preserve">nitiatives as well as PORTIS measures.  </w:t>
      </w:r>
    </w:p>
    <w:p w14:paraId="22062105" w14:textId="77777777" w:rsidR="00B66A3D" w:rsidRDefault="00B66A3D" w:rsidP="00FE616C">
      <w:pPr>
        <w:rPr>
          <w:i/>
          <w:color w:val="002060"/>
        </w:rPr>
      </w:pPr>
    </w:p>
    <w:p w14:paraId="598E9552" w14:textId="37F26902" w:rsidR="00C16A0C" w:rsidRPr="00E45FBE" w:rsidRDefault="00C16A0C" w:rsidP="006D0BD8">
      <w:pPr>
        <w:rPr>
          <w:b/>
          <w:i/>
          <w:color w:val="002060"/>
        </w:rPr>
      </w:pPr>
      <w:r w:rsidRPr="00E45FBE">
        <w:rPr>
          <w:b/>
          <w:i/>
          <w:color w:val="002060"/>
        </w:rPr>
        <w:t>It is suggested that a</w:t>
      </w:r>
      <w:r w:rsidR="0054087F" w:rsidRPr="00E45FBE">
        <w:rPr>
          <w:b/>
          <w:i/>
          <w:color w:val="002060"/>
        </w:rPr>
        <w:t>n ‘trends and external factors’</w:t>
      </w:r>
      <w:r w:rsidRPr="00E45FBE">
        <w:rPr>
          <w:b/>
          <w:i/>
          <w:color w:val="002060"/>
        </w:rPr>
        <w:t xml:space="preserve"> workshop be held by the LEMs with the local stakeholders / PORTIS measure leaders with the purpose of assessing the key trends relating to the city level indicators.  </w:t>
      </w:r>
    </w:p>
    <w:p w14:paraId="4E0362C0" w14:textId="77777777" w:rsidR="00C16A0C" w:rsidRDefault="00C16A0C" w:rsidP="006D0BD8">
      <w:pPr>
        <w:rPr>
          <w:i/>
          <w:color w:val="002060"/>
        </w:rPr>
      </w:pPr>
    </w:p>
    <w:p w14:paraId="72F0322B" w14:textId="20605753" w:rsidR="00C16A0C" w:rsidRDefault="00C16A0C" w:rsidP="006D0BD8">
      <w:pPr>
        <w:rPr>
          <w:i/>
          <w:color w:val="002060"/>
        </w:rPr>
      </w:pPr>
      <w:r>
        <w:rPr>
          <w:i/>
          <w:color w:val="002060"/>
        </w:rPr>
        <w:t>This has been conducted by Antwerp</w:t>
      </w:r>
      <w:r w:rsidR="0090067D">
        <w:rPr>
          <w:i/>
          <w:color w:val="002060"/>
        </w:rPr>
        <w:t xml:space="preserve"> in Feb 2018</w:t>
      </w:r>
      <w:r>
        <w:rPr>
          <w:i/>
          <w:color w:val="002060"/>
        </w:rPr>
        <w:t xml:space="preserve"> and the summary of this process is provided in Annex A</w:t>
      </w:r>
      <w:r w:rsidR="0090067D">
        <w:rPr>
          <w:i/>
          <w:color w:val="002060"/>
        </w:rPr>
        <w:t xml:space="preserve">:  </w:t>
      </w:r>
      <w:r>
        <w:rPr>
          <w:i/>
          <w:color w:val="002060"/>
        </w:rPr>
        <w:t>This considers the direction of the trends</w:t>
      </w:r>
      <w:r w:rsidR="00883845">
        <w:rPr>
          <w:i/>
          <w:color w:val="002060"/>
        </w:rPr>
        <w:t xml:space="preserve"> and </w:t>
      </w:r>
      <w:r>
        <w:rPr>
          <w:i/>
          <w:color w:val="002060"/>
        </w:rPr>
        <w:t xml:space="preserve">what is causing the trends including major projects and initiatives not related to PORTIS.  The assessment is qualitative but provides a means of understanding the external influences which are impacting on the changes in indicator values. </w:t>
      </w:r>
    </w:p>
    <w:p w14:paraId="2B02D9C1" w14:textId="27688959" w:rsidR="0054087F" w:rsidRDefault="0054087F" w:rsidP="006D0BD8">
      <w:pPr>
        <w:rPr>
          <w:i/>
          <w:color w:val="002060"/>
        </w:rPr>
      </w:pPr>
    </w:p>
    <w:p w14:paraId="7069D2B4" w14:textId="38129935" w:rsidR="0054087F" w:rsidRDefault="0054087F" w:rsidP="006D0BD8">
      <w:pPr>
        <w:rPr>
          <w:i/>
          <w:color w:val="002060"/>
        </w:rPr>
      </w:pPr>
      <w:r>
        <w:rPr>
          <w:i/>
          <w:color w:val="002060"/>
        </w:rPr>
        <w:t xml:space="preserve">A useful exercise to identify the relevant external factors is to undertake a ‘visioning mindmap’. This approach has been conducted by Aberdeen to help establish the most relevant external factors that may influence changes in indicator values. This can be conducted as the first task within the workshop.  </w:t>
      </w:r>
    </w:p>
    <w:p w14:paraId="51D9652F" w14:textId="4A5A9DB7" w:rsidR="009862F7" w:rsidRDefault="009862F7" w:rsidP="006D0BD8">
      <w:pPr>
        <w:rPr>
          <w:i/>
          <w:color w:val="002060"/>
        </w:rPr>
      </w:pPr>
    </w:p>
    <w:p w14:paraId="03C19456" w14:textId="0E305D78" w:rsidR="00B74F98" w:rsidRPr="009862F7" w:rsidRDefault="009862F7" w:rsidP="006D0BD8">
      <w:pPr>
        <w:rPr>
          <w:b/>
          <w:i/>
        </w:rPr>
      </w:pPr>
      <w:r w:rsidRPr="009862F7">
        <w:rPr>
          <w:b/>
          <w:i/>
        </w:rPr>
        <w:t xml:space="preserve">Figure 2: </w:t>
      </w:r>
      <w:r w:rsidR="00B74F98" w:rsidRPr="009862F7">
        <w:rPr>
          <w:b/>
          <w:i/>
        </w:rPr>
        <w:t xml:space="preserve">Example showing direction of trends relating to car, </w:t>
      </w:r>
      <w:r w:rsidR="00A65A48">
        <w:rPr>
          <w:b/>
          <w:i/>
        </w:rPr>
        <w:t>PT</w:t>
      </w:r>
      <w:r w:rsidR="00B74F98" w:rsidRPr="009862F7">
        <w:rPr>
          <w:b/>
          <w:i/>
        </w:rPr>
        <w:t>, bicycle and freight in Antwerp</w:t>
      </w:r>
      <w:r w:rsidR="0054087F">
        <w:rPr>
          <w:b/>
          <w:i/>
        </w:rPr>
        <w:t xml:space="preserve"> (see also Annex A for full description) </w:t>
      </w:r>
    </w:p>
    <w:p w14:paraId="34644C55" w14:textId="77777777" w:rsidR="00B74F98" w:rsidRDefault="00B74F98" w:rsidP="00B74F98">
      <w:pPr>
        <w:rPr>
          <w:i/>
          <w:color w:val="002060"/>
        </w:rPr>
      </w:pPr>
      <w:r>
        <w:rPr>
          <w:i/>
          <w:noProof/>
          <w:color w:val="002060"/>
          <w:lang w:eastAsia="en-GB"/>
        </w:rPr>
        <w:drawing>
          <wp:inline distT="0" distB="0" distL="0" distR="0" wp14:anchorId="786B974C" wp14:editId="7A551561">
            <wp:extent cx="4970834" cy="1825852"/>
            <wp:effectExtent l="171450" t="171450" r="191770" b="1746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0051" cy="182923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6D12F5A" w14:textId="77777777" w:rsidR="00B74F98" w:rsidRDefault="00B74F98" w:rsidP="006D0BD8">
      <w:pPr>
        <w:rPr>
          <w:i/>
          <w:color w:val="002060"/>
        </w:rPr>
      </w:pPr>
    </w:p>
    <w:p w14:paraId="1775B9BA" w14:textId="77777777" w:rsidR="000163AB" w:rsidRDefault="000163AB" w:rsidP="006D0BD8">
      <w:pPr>
        <w:rPr>
          <w:i/>
          <w:color w:val="002060"/>
        </w:rPr>
      </w:pPr>
    </w:p>
    <w:p w14:paraId="2540E350" w14:textId="1007D4A7" w:rsidR="0090067D" w:rsidRPr="00A34615" w:rsidRDefault="0054087F" w:rsidP="006D0BD8">
      <w:pPr>
        <w:rPr>
          <w:b/>
          <w:i/>
          <w:color w:val="002060"/>
        </w:rPr>
      </w:pPr>
      <w:r w:rsidRPr="00A34615">
        <w:rPr>
          <w:b/>
          <w:i/>
          <w:color w:val="002060"/>
        </w:rPr>
        <w:t>A second w</w:t>
      </w:r>
      <w:r w:rsidR="0090067D" w:rsidRPr="00A34615">
        <w:rPr>
          <w:b/>
          <w:i/>
          <w:color w:val="002060"/>
        </w:rPr>
        <w:t xml:space="preserve">orkshop </w:t>
      </w:r>
      <w:r w:rsidR="000163AB" w:rsidRPr="00A34615">
        <w:rPr>
          <w:b/>
          <w:i/>
          <w:color w:val="002060"/>
        </w:rPr>
        <w:t xml:space="preserve">(PORTIS measure influence workshop) </w:t>
      </w:r>
      <w:r w:rsidR="0090067D" w:rsidRPr="00A34615">
        <w:rPr>
          <w:b/>
          <w:i/>
          <w:color w:val="002060"/>
        </w:rPr>
        <w:t xml:space="preserve">with local stakeholders / PORTIS measure leaders should be repeated towards the end of the PORTIS project (in Spring 2020) once the PORTIS measures have been implemented and operational for a sufficient length of time to get an indication of their effectiveness.    </w:t>
      </w:r>
    </w:p>
    <w:p w14:paraId="455D468F" w14:textId="77777777" w:rsidR="0090067D" w:rsidRDefault="0090067D" w:rsidP="006D0BD8">
      <w:pPr>
        <w:rPr>
          <w:i/>
          <w:color w:val="002060"/>
        </w:rPr>
      </w:pPr>
    </w:p>
    <w:p w14:paraId="2668B544" w14:textId="65DA967F" w:rsidR="00B74F98" w:rsidRDefault="0090067D" w:rsidP="006D0BD8">
      <w:pPr>
        <w:rPr>
          <w:i/>
          <w:color w:val="002060"/>
        </w:rPr>
      </w:pPr>
      <w:r>
        <w:rPr>
          <w:i/>
          <w:color w:val="002060"/>
        </w:rPr>
        <w:t>Th</w:t>
      </w:r>
      <w:r w:rsidR="000163AB">
        <w:rPr>
          <w:i/>
          <w:color w:val="002060"/>
        </w:rPr>
        <w:t xml:space="preserve">e ‘PORTIS measure influence’ </w:t>
      </w:r>
      <w:r>
        <w:rPr>
          <w:i/>
          <w:color w:val="002060"/>
        </w:rPr>
        <w:t xml:space="preserve">workshop should revisit the assessment of trends and major projects and initiatives not related to PORTIS, </w:t>
      </w:r>
      <w:r w:rsidR="0054087F">
        <w:rPr>
          <w:i/>
          <w:color w:val="002060"/>
        </w:rPr>
        <w:t xml:space="preserve">while also </w:t>
      </w:r>
      <w:r>
        <w:rPr>
          <w:i/>
          <w:color w:val="002060"/>
        </w:rPr>
        <w:t>consider</w:t>
      </w:r>
      <w:r w:rsidR="0054087F">
        <w:rPr>
          <w:i/>
          <w:color w:val="002060"/>
        </w:rPr>
        <w:t xml:space="preserve">ing </w:t>
      </w:r>
      <w:r>
        <w:rPr>
          <w:i/>
          <w:color w:val="002060"/>
        </w:rPr>
        <w:t>the impact that PORTIS measures have had on t</w:t>
      </w:r>
      <w:r w:rsidR="00415906">
        <w:rPr>
          <w:i/>
          <w:color w:val="002060"/>
        </w:rPr>
        <w:t xml:space="preserve">he changes in indicator value. </w:t>
      </w:r>
      <w:r>
        <w:rPr>
          <w:i/>
          <w:color w:val="002060"/>
        </w:rPr>
        <w:t>Again</w:t>
      </w:r>
      <w:r w:rsidR="00415906">
        <w:rPr>
          <w:i/>
          <w:color w:val="002060"/>
        </w:rPr>
        <w:t>,</w:t>
      </w:r>
      <w:r>
        <w:rPr>
          <w:i/>
          <w:color w:val="002060"/>
        </w:rPr>
        <w:t xml:space="preserve"> this assessment is mainly qualitative in nature providing explanations and reasoning for the changes observed. However, coarse judgements on the magnitude </w:t>
      </w:r>
      <w:r w:rsidR="0094436D">
        <w:rPr>
          <w:i/>
          <w:color w:val="002060"/>
        </w:rPr>
        <w:t>(</w:t>
      </w:r>
      <w:r w:rsidR="00EE53A6">
        <w:rPr>
          <w:i/>
          <w:color w:val="002060"/>
        </w:rPr>
        <w:t xml:space="preserve">e.g. </w:t>
      </w:r>
      <w:r w:rsidR="0094436D">
        <w:rPr>
          <w:i/>
          <w:color w:val="002060"/>
        </w:rPr>
        <w:t>low, medium, high</w:t>
      </w:r>
      <w:r w:rsidR="00836803">
        <w:rPr>
          <w:i/>
          <w:color w:val="002060"/>
        </w:rPr>
        <w:t>, very high</w:t>
      </w:r>
      <w:r w:rsidR="0094436D">
        <w:rPr>
          <w:i/>
          <w:color w:val="002060"/>
        </w:rPr>
        <w:t xml:space="preserve">) </w:t>
      </w:r>
      <w:r>
        <w:rPr>
          <w:i/>
          <w:color w:val="002060"/>
        </w:rPr>
        <w:t xml:space="preserve">of the </w:t>
      </w:r>
      <w:r w:rsidR="00415906">
        <w:rPr>
          <w:i/>
          <w:color w:val="002060"/>
        </w:rPr>
        <w:t xml:space="preserve">contribution from </w:t>
      </w:r>
      <w:r w:rsidR="00B74F98">
        <w:rPr>
          <w:i/>
          <w:color w:val="002060"/>
        </w:rPr>
        <w:t xml:space="preserve">external projects/initiatives and </w:t>
      </w:r>
      <w:r w:rsidR="00415906">
        <w:rPr>
          <w:i/>
          <w:color w:val="002060"/>
        </w:rPr>
        <w:t xml:space="preserve">from </w:t>
      </w:r>
      <w:r w:rsidR="00B74F98">
        <w:rPr>
          <w:i/>
          <w:color w:val="002060"/>
        </w:rPr>
        <w:t xml:space="preserve">PORTIS measures </w:t>
      </w:r>
      <w:r w:rsidR="00415906">
        <w:rPr>
          <w:i/>
          <w:color w:val="002060"/>
        </w:rPr>
        <w:t>to changes in the indicator value should be made.</w:t>
      </w:r>
    </w:p>
    <w:p w14:paraId="19FEB8F6" w14:textId="77777777" w:rsidR="00415906" w:rsidRDefault="00415906" w:rsidP="006D0BD8">
      <w:pPr>
        <w:rPr>
          <w:i/>
          <w:color w:val="002060"/>
        </w:rPr>
      </w:pPr>
    </w:p>
    <w:p w14:paraId="5C0A853D" w14:textId="703D387F" w:rsidR="00415906" w:rsidRDefault="00415906" w:rsidP="006D0BD8">
      <w:pPr>
        <w:rPr>
          <w:i/>
          <w:color w:val="002060"/>
        </w:rPr>
      </w:pPr>
      <w:r>
        <w:rPr>
          <w:i/>
          <w:color w:val="002060"/>
        </w:rPr>
        <w:t xml:space="preserve">While this does not give clear conclusions on the impact of PORTIS measures on city level indicators, it does provide expert judgements on the relative contribution of PORTIS measures/clusters of PORTIS measures on the strategic objectives for the city.  </w:t>
      </w:r>
    </w:p>
    <w:p w14:paraId="77AD668E" w14:textId="524450B1" w:rsidR="000163AB" w:rsidRDefault="000163AB" w:rsidP="006D0BD8">
      <w:pPr>
        <w:rPr>
          <w:i/>
          <w:color w:val="002060"/>
        </w:rPr>
      </w:pPr>
    </w:p>
    <w:p w14:paraId="09D6C9C9" w14:textId="267E076C" w:rsidR="000163AB" w:rsidRDefault="000163AB" w:rsidP="000163AB">
      <w:pPr>
        <w:rPr>
          <w:i/>
          <w:color w:val="002060"/>
        </w:rPr>
      </w:pPr>
      <w:r>
        <w:rPr>
          <w:i/>
          <w:color w:val="002060"/>
        </w:rPr>
        <w:t xml:space="preserve">For the city level indicators related to transport system performance there may be a complex array of many PORTIS measures which simultaneously contribute to changes in indicator values in addition to external factors. In such circumstances it becomes very difficult for stakeholders/measure leaders to conceptualise the relative contribution of each element. For these cases it may be advisable to use the Strategic Level Assessment Tool with the local stakeholders / PORTIS measure leaders as an aid to unravel the complex interactions of multiple measures. See Section 4 for more details.  </w:t>
      </w:r>
    </w:p>
    <w:p w14:paraId="21D880ED" w14:textId="77777777" w:rsidR="000163AB" w:rsidRDefault="000163AB" w:rsidP="006D0BD8">
      <w:pPr>
        <w:rPr>
          <w:i/>
          <w:color w:val="002060"/>
        </w:rPr>
      </w:pPr>
    </w:p>
    <w:p w14:paraId="7EC235FD" w14:textId="7B5CD26F" w:rsidR="00126E5B" w:rsidRPr="00CA4154" w:rsidRDefault="005C191D" w:rsidP="00126E5B">
      <w:pPr>
        <w:rPr>
          <w:i/>
          <w:color w:val="1F3864" w:themeColor="accent1" w:themeShade="80"/>
        </w:rPr>
      </w:pPr>
      <w:r w:rsidRPr="00CA4154">
        <w:rPr>
          <w:i/>
          <w:color w:val="1F3864" w:themeColor="accent1" w:themeShade="80"/>
        </w:rPr>
        <w:t xml:space="preserve">The </w:t>
      </w:r>
      <w:r w:rsidR="00126E5B" w:rsidRPr="00CA4154">
        <w:rPr>
          <w:i/>
          <w:color w:val="1F3864" w:themeColor="accent1" w:themeShade="80"/>
        </w:rPr>
        <w:t xml:space="preserve">strategic level tool is </w:t>
      </w:r>
      <w:r w:rsidRPr="00CA4154">
        <w:rPr>
          <w:i/>
          <w:color w:val="1F3864" w:themeColor="accent1" w:themeShade="80"/>
        </w:rPr>
        <w:t xml:space="preserve">most </w:t>
      </w:r>
      <w:r w:rsidR="00126E5B" w:rsidRPr="00CA4154">
        <w:rPr>
          <w:i/>
          <w:color w:val="1F3864" w:themeColor="accent1" w:themeShade="80"/>
        </w:rPr>
        <w:t>useful for assessment of transport related city level indicators in the following circumstances:</w:t>
      </w:r>
    </w:p>
    <w:p w14:paraId="7B9E3620" w14:textId="77777777" w:rsidR="00126E5B" w:rsidRPr="00CA4154" w:rsidRDefault="00126E5B" w:rsidP="00126E5B">
      <w:pPr>
        <w:pStyle w:val="ListParagraph"/>
        <w:numPr>
          <w:ilvl w:val="0"/>
          <w:numId w:val="12"/>
        </w:numPr>
        <w:rPr>
          <w:i/>
          <w:color w:val="1F3864" w:themeColor="accent1" w:themeShade="80"/>
        </w:rPr>
      </w:pPr>
      <w:r w:rsidRPr="00CA4154">
        <w:rPr>
          <w:i/>
          <w:color w:val="1F3864" w:themeColor="accent1" w:themeShade="80"/>
        </w:rPr>
        <w:t xml:space="preserve">Where multiple PORTIS measures are acting simultaneously on the strategic objective / KPI value along with external factors, and hence straightforward judgements on their relative contributions become difficult.  </w:t>
      </w:r>
    </w:p>
    <w:p w14:paraId="77E8D711" w14:textId="77777777" w:rsidR="00CA4154" w:rsidRPr="00CA4154" w:rsidRDefault="00CA4154" w:rsidP="00836803">
      <w:pPr>
        <w:pStyle w:val="ListParagraph"/>
        <w:numPr>
          <w:ilvl w:val="0"/>
          <w:numId w:val="12"/>
        </w:numPr>
        <w:rPr>
          <w:i/>
          <w:color w:val="002060"/>
        </w:rPr>
      </w:pPr>
      <w:r w:rsidRPr="00CA4154">
        <w:rPr>
          <w:i/>
          <w:color w:val="1F3864" w:themeColor="accent1" w:themeShade="80"/>
        </w:rPr>
        <w:t xml:space="preserve">Where a more </w:t>
      </w:r>
      <w:r w:rsidR="00126E5B" w:rsidRPr="00CA4154">
        <w:rPr>
          <w:i/>
          <w:color w:val="1F3864" w:themeColor="accent1" w:themeShade="80"/>
        </w:rPr>
        <w:t xml:space="preserve">tailored assessment </w:t>
      </w:r>
      <w:r w:rsidRPr="00CA4154">
        <w:rPr>
          <w:i/>
          <w:color w:val="1F3864" w:themeColor="accent1" w:themeShade="80"/>
        </w:rPr>
        <w:t xml:space="preserve">is sensible; e.g. considering </w:t>
      </w:r>
      <w:r w:rsidR="00126E5B" w:rsidRPr="00CA4154">
        <w:rPr>
          <w:i/>
          <w:color w:val="1F3864" w:themeColor="accent1" w:themeShade="80"/>
        </w:rPr>
        <w:t xml:space="preserve">specific variations to the strategic objectives/KPI’s due to availability of data and/or to better reflect the scope of the measures introduced. </w:t>
      </w:r>
    </w:p>
    <w:p w14:paraId="1AA66721" w14:textId="78BCA3E7" w:rsidR="00D22385" w:rsidRPr="00CA4154" w:rsidRDefault="00126E5B" w:rsidP="00836803">
      <w:pPr>
        <w:pStyle w:val="ListParagraph"/>
        <w:numPr>
          <w:ilvl w:val="0"/>
          <w:numId w:val="12"/>
        </w:numPr>
        <w:rPr>
          <w:i/>
          <w:color w:val="002060"/>
        </w:rPr>
      </w:pPr>
      <w:r w:rsidRPr="00CA4154">
        <w:rPr>
          <w:i/>
          <w:color w:val="1F3864" w:themeColor="accent1" w:themeShade="80"/>
        </w:rPr>
        <w:t>If only one PORTIS measure contributes to a strategic objective, then there is no need to apply the strategic level tool</w:t>
      </w:r>
      <w:r w:rsidR="00B74F98" w:rsidRPr="00CA4154">
        <w:rPr>
          <w:i/>
          <w:color w:val="002060"/>
        </w:rPr>
        <w:t xml:space="preserve"> </w:t>
      </w:r>
    </w:p>
    <w:p w14:paraId="4A56CB4D" w14:textId="77777777" w:rsidR="00126E5B" w:rsidRPr="00255A25" w:rsidRDefault="00126E5B" w:rsidP="00FE616C">
      <w:pPr>
        <w:rPr>
          <w:i/>
          <w:color w:val="002060"/>
        </w:rPr>
      </w:pPr>
    </w:p>
    <w:p w14:paraId="7CCF1B07" w14:textId="1C21B054" w:rsidR="00B46253" w:rsidRDefault="00B46253" w:rsidP="00FE616C">
      <w:pPr>
        <w:rPr>
          <w:i/>
          <w:color w:val="002060"/>
        </w:rPr>
      </w:pPr>
    </w:p>
    <w:p w14:paraId="53765A5C" w14:textId="77777777" w:rsidR="00B4616B" w:rsidRDefault="00B4616B" w:rsidP="00FE616C">
      <w:pPr>
        <w:rPr>
          <w:i/>
          <w:color w:val="002060"/>
        </w:rPr>
      </w:pPr>
    </w:p>
    <w:p w14:paraId="68EE1BC3" w14:textId="14E184FC" w:rsidR="009862F7" w:rsidRPr="008223AD" w:rsidRDefault="008205C3" w:rsidP="00FE616C">
      <w:pPr>
        <w:rPr>
          <w:i/>
          <w:color w:val="C00000"/>
          <w:u w:val="single"/>
        </w:rPr>
      </w:pPr>
      <w:r w:rsidRPr="008223AD">
        <w:rPr>
          <w:i/>
          <w:color w:val="C00000"/>
          <w:u w:val="single"/>
        </w:rPr>
        <w:t xml:space="preserve">Workshop 1 </w:t>
      </w:r>
      <w:r w:rsidR="000163AB">
        <w:rPr>
          <w:i/>
          <w:color w:val="C00000"/>
          <w:u w:val="single"/>
        </w:rPr>
        <w:t xml:space="preserve">(Trends and External Factors) </w:t>
      </w:r>
    </w:p>
    <w:p w14:paraId="0EDA49E3" w14:textId="211591ED" w:rsidR="009862F7" w:rsidRPr="008223AD" w:rsidRDefault="009862F7" w:rsidP="00FE616C">
      <w:pPr>
        <w:rPr>
          <w:i/>
          <w:color w:val="C00000"/>
        </w:rPr>
      </w:pPr>
      <w:r w:rsidRPr="008223AD">
        <w:rPr>
          <w:i/>
          <w:color w:val="C00000"/>
        </w:rPr>
        <w:t xml:space="preserve">Date:  </w:t>
      </w:r>
    </w:p>
    <w:p w14:paraId="02359264" w14:textId="7C84B53B" w:rsidR="008205C3" w:rsidRPr="008223AD" w:rsidRDefault="009862F7" w:rsidP="00FE616C">
      <w:pPr>
        <w:rPr>
          <w:i/>
          <w:color w:val="C00000"/>
        </w:rPr>
      </w:pPr>
      <w:r w:rsidRPr="008223AD">
        <w:rPr>
          <w:i/>
          <w:color w:val="C00000"/>
        </w:rPr>
        <w:t xml:space="preserve">List of </w:t>
      </w:r>
      <w:r w:rsidR="008205C3" w:rsidRPr="008223AD">
        <w:rPr>
          <w:i/>
          <w:color w:val="C00000"/>
        </w:rPr>
        <w:t>Attendees</w:t>
      </w:r>
      <w:r w:rsidRPr="008223AD">
        <w:rPr>
          <w:i/>
          <w:color w:val="C00000"/>
        </w:rPr>
        <w:t>:</w:t>
      </w:r>
    </w:p>
    <w:p w14:paraId="3F5F072C" w14:textId="6BA2CF70" w:rsidR="00A65A48" w:rsidRPr="008223AD" w:rsidRDefault="008205C3" w:rsidP="00FE616C">
      <w:pPr>
        <w:rPr>
          <w:i/>
          <w:color w:val="C00000"/>
        </w:rPr>
      </w:pPr>
      <w:r w:rsidRPr="008223AD">
        <w:rPr>
          <w:i/>
          <w:color w:val="C00000"/>
        </w:rPr>
        <w:t>Trends</w:t>
      </w:r>
      <w:r w:rsidR="000163AB">
        <w:rPr>
          <w:i/>
          <w:color w:val="C00000"/>
        </w:rPr>
        <w:t>/external factors</w:t>
      </w:r>
      <w:r w:rsidRPr="008223AD">
        <w:rPr>
          <w:i/>
          <w:color w:val="C00000"/>
        </w:rPr>
        <w:t xml:space="preserve"> explored</w:t>
      </w:r>
      <w:r w:rsidR="00A65A48" w:rsidRPr="008223AD">
        <w:rPr>
          <w:i/>
          <w:color w:val="C00000"/>
        </w:rPr>
        <w:t xml:space="preserve"> (related to strategic objectives/city level indicators):</w:t>
      </w:r>
    </w:p>
    <w:p w14:paraId="1BFB83CC" w14:textId="71386F1A" w:rsidR="00A65A48" w:rsidRPr="008223AD" w:rsidRDefault="00A65A48" w:rsidP="00FE616C">
      <w:pPr>
        <w:rPr>
          <w:i/>
          <w:color w:val="C00000"/>
        </w:rPr>
      </w:pPr>
      <w:r w:rsidRPr="008223AD">
        <w:rPr>
          <w:i/>
          <w:color w:val="C00000"/>
        </w:rPr>
        <w:t>Outcomes for each assessment:</w:t>
      </w:r>
    </w:p>
    <w:p w14:paraId="6AFC3987" w14:textId="629C29C6" w:rsidR="008205C3" w:rsidRPr="008223AD" w:rsidRDefault="00A65A48" w:rsidP="00FE616C">
      <w:pPr>
        <w:rPr>
          <w:i/>
          <w:color w:val="C00000"/>
        </w:rPr>
      </w:pPr>
      <w:r w:rsidRPr="008223AD">
        <w:rPr>
          <w:i/>
          <w:color w:val="C00000"/>
        </w:rPr>
        <w:t>Overall c</w:t>
      </w:r>
      <w:r w:rsidR="008205C3" w:rsidRPr="008223AD">
        <w:rPr>
          <w:i/>
          <w:color w:val="C00000"/>
        </w:rPr>
        <w:t>onclusions</w:t>
      </w:r>
      <w:r w:rsidRPr="008223AD">
        <w:rPr>
          <w:i/>
          <w:color w:val="C00000"/>
        </w:rPr>
        <w:t>:</w:t>
      </w:r>
    </w:p>
    <w:p w14:paraId="6937D558" w14:textId="17E67097" w:rsidR="008205C3" w:rsidRPr="00126E5B" w:rsidRDefault="00126E5B" w:rsidP="00FE616C">
      <w:pPr>
        <w:rPr>
          <w:i/>
        </w:rPr>
      </w:pPr>
      <w:r w:rsidRPr="00126E5B">
        <w:rPr>
          <w:i/>
        </w:rPr>
        <w:t>(see Annex A for an example of the outcomes from such a workshop)</w:t>
      </w:r>
    </w:p>
    <w:p w14:paraId="1E0080FD" w14:textId="61AA16D8" w:rsidR="008205C3" w:rsidRDefault="008205C3" w:rsidP="00FE616C">
      <w:pPr>
        <w:rPr>
          <w:i/>
          <w:color w:val="C00000"/>
        </w:rPr>
      </w:pPr>
    </w:p>
    <w:p w14:paraId="553B52B4" w14:textId="7E755F13" w:rsidR="00CA4154" w:rsidRDefault="00CA4154" w:rsidP="00FE616C">
      <w:pPr>
        <w:rPr>
          <w:i/>
          <w:color w:val="C00000"/>
        </w:rPr>
      </w:pPr>
    </w:p>
    <w:p w14:paraId="77CD4C11" w14:textId="19EC253C" w:rsidR="00B4616B" w:rsidRDefault="00B4616B" w:rsidP="00FE616C">
      <w:pPr>
        <w:rPr>
          <w:i/>
          <w:color w:val="C00000"/>
        </w:rPr>
      </w:pPr>
    </w:p>
    <w:p w14:paraId="135D286B" w14:textId="77777777" w:rsidR="00B4616B" w:rsidRDefault="00B4616B" w:rsidP="00FE616C">
      <w:pPr>
        <w:rPr>
          <w:i/>
          <w:color w:val="C00000"/>
        </w:rPr>
      </w:pPr>
    </w:p>
    <w:p w14:paraId="4A9A4876" w14:textId="77777777" w:rsidR="00CA4154" w:rsidRPr="008223AD" w:rsidRDefault="00CA4154" w:rsidP="00FE616C">
      <w:pPr>
        <w:rPr>
          <w:i/>
          <w:color w:val="C00000"/>
        </w:rPr>
      </w:pPr>
    </w:p>
    <w:p w14:paraId="378C3913" w14:textId="531EA0D3" w:rsidR="00A65A48" w:rsidRPr="008223AD" w:rsidRDefault="00A65A48" w:rsidP="00A65A48">
      <w:pPr>
        <w:rPr>
          <w:i/>
          <w:color w:val="C00000"/>
          <w:u w:val="single"/>
        </w:rPr>
      </w:pPr>
      <w:r w:rsidRPr="008223AD">
        <w:rPr>
          <w:i/>
          <w:color w:val="C00000"/>
          <w:u w:val="single"/>
        </w:rPr>
        <w:t xml:space="preserve">Workshop 2 </w:t>
      </w:r>
      <w:r w:rsidR="000163AB">
        <w:rPr>
          <w:i/>
          <w:color w:val="C00000"/>
          <w:u w:val="single"/>
        </w:rPr>
        <w:t>(PORTIS measure influence)</w:t>
      </w:r>
    </w:p>
    <w:p w14:paraId="197656F6" w14:textId="77777777" w:rsidR="00A65A48" w:rsidRPr="008223AD" w:rsidRDefault="00A65A48" w:rsidP="00A65A48">
      <w:pPr>
        <w:rPr>
          <w:i/>
          <w:color w:val="C00000"/>
        </w:rPr>
      </w:pPr>
      <w:r w:rsidRPr="008223AD">
        <w:rPr>
          <w:i/>
          <w:color w:val="C00000"/>
        </w:rPr>
        <w:t xml:space="preserve">Date:  </w:t>
      </w:r>
    </w:p>
    <w:p w14:paraId="6BF2D2A9" w14:textId="77777777" w:rsidR="00A65A48" w:rsidRPr="008223AD" w:rsidRDefault="00A65A48" w:rsidP="00A65A48">
      <w:pPr>
        <w:rPr>
          <w:i/>
          <w:color w:val="C00000"/>
        </w:rPr>
      </w:pPr>
      <w:r w:rsidRPr="008223AD">
        <w:rPr>
          <w:i/>
          <w:color w:val="C00000"/>
        </w:rPr>
        <w:t>List of Attendees:</w:t>
      </w:r>
    </w:p>
    <w:p w14:paraId="1D43C4AE" w14:textId="7B5368CD" w:rsidR="00A65A48" w:rsidRPr="008223AD" w:rsidRDefault="000163AB" w:rsidP="00A65A48">
      <w:pPr>
        <w:rPr>
          <w:i/>
          <w:color w:val="C00000"/>
        </w:rPr>
      </w:pPr>
      <w:r>
        <w:rPr>
          <w:i/>
          <w:color w:val="C00000"/>
        </w:rPr>
        <w:t>City level indicators e</w:t>
      </w:r>
      <w:r w:rsidR="00A65A48" w:rsidRPr="008223AD">
        <w:rPr>
          <w:i/>
          <w:color w:val="C00000"/>
        </w:rPr>
        <w:t>xplored (related to strategic objectives):</w:t>
      </w:r>
    </w:p>
    <w:p w14:paraId="1422D15C" w14:textId="029A239A" w:rsidR="00A65A48" w:rsidRPr="008223AD" w:rsidRDefault="00A65A48" w:rsidP="00A65A48">
      <w:pPr>
        <w:rPr>
          <w:i/>
          <w:color w:val="C00000"/>
        </w:rPr>
      </w:pPr>
      <w:r w:rsidRPr="008223AD">
        <w:rPr>
          <w:i/>
          <w:color w:val="C00000"/>
        </w:rPr>
        <w:t xml:space="preserve">Outcomes for each assessment (including coarse judgement on PORTIS measure </w:t>
      </w:r>
      <w:r w:rsidR="00D92D55" w:rsidRPr="008223AD">
        <w:rPr>
          <w:i/>
          <w:color w:val="C00000"/>
        </w:rPr>
        <w:t>contributions to changes in city level indicator values</w:t>
      </w:r>
      <w:r w:rsidRPr="008223AD">
        <w:rPr>
          <w:i/>
          <w:color w:val="C00000"/>
        </w:rPr>
        <w:t>):</w:t>
      </w:r>
    </w:p>
    <w:p w14:paraId="5D5D84F7" w14:textId="77777777" w:rsidR="00A65A48" w:rsidRPr="008223AD" w:rsidRDefault="00A65A48" w:rsidP="00A65A48">
      <w:pPr>
        <w:rPr>
          <w:i/>
          <w:color w:val="C00000"/>
        </w:rPr>
      </w:pPr>
      <w:r w:rsidRPr="008223AD">
        <w:rPr>
          <w:i/>
          <w:color w:val="C00000"/>
        </w:rPr>
        <w:t>Overall conclusions:</w:t>
      </w:r>
    </w:p>
    <w:p w14:paraId="5306D078" w14:textId="49E86BD8" w:rsidR="008205C3" w:rsidRDefault="008205C3" w:rsidP="00FE616C">
      <w:pPr>
        <w:rPr>
          <w:i/>
          <w:color w:val="002060"/>
        </w:rPr>
      </w:pPr>
    </w:p>
    <w:p w14:paraId="747E228B" w14:textId="699E0EF2" w:rsidR="00126E5B" w:rsidRDefault="00126E5B">
      <w:pPr>
        <w:spacing w:after="160" w:line="259" w:lineRule="auto"/>
        <w:rPr>
          <w:i/>
          <w:color w:val="002060"/>
        </w:rPr>
      </w:pPr>
      <w:r>
        <w:rPr>
          <w:i/>
          <w:color w:val="002060"/>
        </w:rPr>
        <w:br w:type="page"/>
      </w:r>
    </w:p>
    <w:p w14:paraId="2E4E2834" w14:textId="77777777" w:rsidR="00B46253" w:rsidRPr="00255A25" w:rsidRDefault="00AB7E88" w:rsidP="004F5EAE">
      <w:pPr>
        <w:pStyle w:val="Heading1"/>
        <w:numPr>
          <w:ilvl w:val="0"/>
          <w:numId w:val="10"/>
        </w:numPr>
      </w:pPr>
      <w:r w:rsidRPr="00255A25">
        <w:t xml:space="preserve"> </w:t>
      </w:r>
      <w:r w:rsidR="00255A25">
        <w:t xml:space="preserve">Applying </w:t>
      </w:r>
      <w:r w:rsidR="00255A25" w:rsidRPr="001B5DA4">
        <w:t>strategic level evaluation tool</w:t>
      </w:r>
    </w:p>
    <w:p w14:paraId="07691E0C" w14:textId="77777777" w:rsidR="00B46253" w:rsidRDefault="00B46253" w:rsidP="00FE616C">
      <w:pPr>
        <w:rPr>
          <w:i/>
          <w:color w:val="002060"/>
        </w:rPr>
      </w:pPr>
    </w:p>
    <w:p w14:paraId="660AA820" w14:textId="77777777" w:rsidR="008205C3" w:rsidRDefault="008205C3" w:rsidP="00FE616C">
      <w:pPr>
        <w:rPr>
          <w:i/>
          <w:color w:val="002060"/>
        </w:rPr>
      </w:pPr>
      <w:r>
        <w:rPr>
          <w:i/>
          <w:color w:val="002060"/>
        </w:rPr>
        <w:t>The qualitative assessment described in Section 3 is adequate and indeed the most suitable approach to evaluating the contribution of PORTIS to several of the strategic objectives and city level indicators</w:t>
      </w:r>
      <w:r w:rsidR="00B66A3D">
        <w:rPr>
          <w:i/>
          <w:color w:val="002060"/>
        </w:rPr>
        <w:t>; i</w:t>
      </w:r>
      <w:r>
        <w:rPr>
          <w:i/>
          <w:color w:val="002060"/>
        </w:rPr>
        <w:t xml:space="preserve">n particular those relating to </w:t>
      </w:r>
      <w:r w:rsidR="00B66A3D">
        <w:rPr>
          <w:i/>
          <w:color w:val="002060"/>
        </w:rPr>
        <w:t>employment/</w:t>
      </w:r>
      <w:r>
        <w:rPr>
          <w:i/>
          <w:color w:val="002060"/>
        </w:rPr>
        <w:t>economy</w:t>
      </w:r>
      <w:r w:rsidR="00B66A3D">
        <w:rPr>
          <w:i/>
          <w:color w:val="002060"/>
        </w:rPr>
        <w:t xml:space="preserve"> and governance.  </w:t>
      </w:r>
      <w:r>
        <w:rPr>
          <w:i/>
          <w:color w:val="002060"/>
        </w:rPr>
        <w:t xml:space="preserve">    </w:t>
      </w:r>
    </w:p>
    <w:p w14:paraId="41E0CB83" w14:textId="77777777" w:rsidR="009E7BA8" w:rsidRDefault="009E7BA8" w:rsidP="00FE616C">
      <w:pPr>
        <w:rPr>
          <w:i/>
          <w:color w:val="002060"/>
        </w:rPr>
      </w:pPr>
    </w:p>
    <w:p w14:paraId="41328EA7" w14:textId="60F2E618" w:rsidR="00B96C34" w:rsidRDefault="00415906" w:rsidP="00FE616C">
      <w:pPr>
        <w:rPr>
          <w:i/>
          <w:color w:val="002060"/>
        </w:rPr>
      </w:pPr>
      <w:r>
        <w:rPr>
          <w:i/>
          <w:color w:val="002060"/>
        </w:rPr>
        <w:t xml:space="preserve">For </w:t>
      </w:r>
      <w:r w:rsidR="00B66A3D">
        <w:rPr>
          <w:i/>
          <w:color w:val="002060"/>
        </w:rPr>
        <w:t xml:space="preserve">the </w:t>
      </w:r>
      <w:r>
        <w:rPr>
          <w:i/>
          <w:color w:val="002060"/>
        </w:rPr>
        <w:t>city level indicators</w:t>
      </w:r>
      <w:r w:rsidR="00B66A3D">
        <w:rPr>
          <w:i/>
          <w:color w:val="002060"/>
        </w:rPr>
        <w:t xml:space="preserve"> related to transport system performance </w:t>
      </w:r>
      <w:r w:rsidR="00B96C34">
        <w:rPr>
          <w:i/>
          <w:color w:val="002060"/>
        </w:rPr>
        <w:t xml:space="preserve">there may be a complex array of many PORTIS measures which </w:t>
      </w:r>
      <w:r w:rsidR="0008688E">
        <w:rPr>
          <w:i/>
          <w:color w:val="002060"/>
        </w:rPr>
        <w:t xml:space="preserve">simultaneously </w:t>
      </w:r>
      <w:r w:rsidR="00B96C34">
        <w:rPr>
          <w:i/>
          <w:color w:val="002060"/>
        </w:rPr>
        <w:t>contribute to changes in indicator values</w:t>
      </w:r>
      <w:r w:rsidR="0008688E">
        <w:rPr>
          <w:i/>
          <w:color w:val="002060"/>
        </w:rPr>
        <w:t xml:space="preserve"> in addition to external factors</w:t>
      </w:r>
      <w:r w:rsidR="00B96C34">
        <w:rPr>
          <w:i/>
          <w:color w:val="002060"/>
        </w:rPr>
        <w:t xml:space="preserve">. In such circumstances it becomes very difficult </w:t>
      </w:r>
      <w:r w:rsidR="0008688E">
        <w:rPr>
          <w:i/>
          <w:color w:val="002060"/>
        </w:rPr>
        <w:t xml:space="preserve">for stakeholders/measure leaders </w:t>
      </w:r>
      <w:r w:rsidR="00B96C34">
        <w:rPr>
          <w:i/>
          <w:color w:val="002060"/>
        </w:rPr>
        <w:t>to</w:t>
      </w:r>
      <w:r w:rsidR="0008688E">
        <w:rPr>
          <w:i/>
          <w:color w:val="002060"/>
        </w:rPr>
        <w:t xml:space="preserve"> conceptualise the relative contribution of each element. </w:t>
      </w:r>
      <w:r w:rsidR="00B96C34">
        <w:rPr>
          <w:i/>
          <w:color w:val="002060"/>
        </w:rPr>
        <w:t xml:space="preserve"> </w:t>
      </w:r>
    </w:p>
    <w:p w14:paraId="0ABEA104" w14:textId="77777777" w:rsidR="00B96C34" w:rsidRDefault="00B96C34" w:rsidP="00FE616C">
      <w:pPr>
        <w:rPr>
          <w:i/>
          <w:color w:val="002060"/>
        </w:rPr>
      </w:pPr>
    </w:p>
    <w:p w14:paraId="373610C3" w14:textId="7B292B63" w:rsidR="00D20CDF" w:rsidRDefault="0008688E" w:rsidP="0008688E">
      <w:pPr>
        <w:rPr>
          <w:rFonts w:cstheme="minorHAnsi"/>
          <w:i/>
          <w:color w:val="1F3864" w:themeColor="accent1" w:themeShade="80"/>
        </w:rPr>
      </w:pPr>
      <w:r w:rsidRPr="00D20CDF">
        <w:rPr>
          <w:i/>
          <w:color w:val="1F3864" w:themeColor="accent1" w:themeShade="80"/>
        </w:rPr>
        <w:t xml:space="preserve">To address this complexity the strategic assessment tool has been developed by the project. </w:t>
      </w:r>
      <w:r w:rsidRPr="00D20CDF">
        <w:rPr>
          <w:rFonts w:cstheme="minorHAnsi"/>
          <w:i/>
          <w:color w:val="1F3864" w:themeColor="accent1" w:themeShade="80"/>
        </w:rPr>
        <w:t xml:space="preserve">This tool utilises the Analytic Hierarchy </w:t>
      </w:r>
      <w:r w:rsidR="00D20CDF" w:rsidRPr="00D20CDF">
        <w:rPr>
          <w:rFonts w:cstheme="minorHAnsi"/>
          <w:i/>
          <w:color w:val="1F3864" w:themeColor="accent1" w:themeShade="80"/>
        </w:rPr>
        <w:t>Process (</w:t>
      </w:r>
      <w:r w:rsidRPr="00D20CDF">
        <w:rPr>
          <w:rFonts w:cstheme="minorHAnsi"/>
          <w:i/>
          <w:color w:val="1F3864" w:themeColor="accent1" w:themeShade="80"/>
        </w:rPr>
        <w:t xml:space="preserve">AHP) approach to enable local stakeholders/experts to make informed judgements on complex multidimensional problems by simplifying them to </w:t>
      </w:r>
      <w:r w:rsidR="00126E5B">
        <w:rPr>
          <w:rFonts w:cstheme="minorHAnsi"/>
          <w:i/>
          <w:color w:val="1F3864" w:themeColor="accent1" w:themeShade="80"/>
        </w:rPr>
        <w:t xml:space="preserve">a </w:t>
      </w:r>
      <w:r w:rsidRPr="00D20CDF">
        <w:rPr>
          <w:rFonts w:cstheme="minorHAnsi"/>
          <w:i/>
          <w:color w:val="1F3864" w:themeColor="accent1" w:themeShade="80"/>
        </w:rPr>
        <w:t>series of two dimensional pairwise comparisons</w:t>
      </w:r>
      <w:r w:rsidR="00D20CDF" w:rsidRPr="00D20CDF">
        <w:rPr>
          <w:rFonts w:cstheme="minorHAnsi"/>
          <w:i/>
          <w:color w:val="1F3864" w:themeColor="accent1" w:themeShade="80"/>
        </w:rPr>
        <w:t xml:space="preserve">. The two dimensional pairwise comparisons are made by considering only two elements (e.g. comparing one PORTIS measure with another or comparing a PORTIS measure with external factors) at a time and making judgements on how </w:t>
      </w:r>
      <w:r w:rsidR="0087006F">
        <w:rPr>
          <w:rFonts w:cstheme="minorHAnsi"/>
          <w:i/>
          <w:color w:val="1F3864" w:themeColor="accent1" w:themeShade="80"/>
        </w:rPr>
        <w:t xml:space="preserve">much influence they have </w:t>
      </w:r>
      <w:r w:rsidR="00D20CDF" w:rsidRPr="00D20CDF">
        <w:rPr>
          <w:rFonts w:cstheme="minorHAnsi"/>
          <w:i/>
          <w:color w:val="1F3864" w:themeColor="accent1" w:themeShade="80"/>
        </w:rPr>
        <w:t>in terms of their contribution to the change in indicator value</w:t>
      </w:r>
      <w:r w:rsidR="0087006F">
        <w:rPr>
          <w:rFonts w:cstheme="minorHAnsi"/>
          <w:i/>
          <w:color w:val="1F3864" w:themeColor="accent1" w:themeShade="80"/>
        </w:rPr>
        <w:t xml:space="preserve"> (the basis for the judgements is provided in Table </w:t>
      </w:r>
      <w:r w:rsidR="0085750E">
        <w:rPr>
          <w:rFonts w:cstheme="minorHAnsi"/>
          <w:i/>
          <w:color w:val="1F3864" w:themeColor="accent1" w:themeShade="80"/>
        </w:rPr>
        <w:t>5</w:t>
      </w:r>
      <w:r w:rsidR="0087006F">
        <w:rPr>
          <w:rFonts w:cstheme="minorHAnsi"/>
          <w:i/>
          <w:color w:val="1F3864" w:themeColor="accent1" w:themeShade="80"/>
        </w:rPr>
        <w:t>)</w:t>
      </w:r>
      <w:r w:rsidR="00D20CDF" w:rsidRPr="00D20CDF">
        <w:rPr>
          <w:rFonts w:cstheme="minorHAnsi"/>
          <w:i/>
          <w:color w:val="1F3864" w:themeColor="accent1" w:themeShade="80"/>
        </w:rPr>
        <w:t xml:space="preserve">. Every element is considered against every other element in turn and </w:t>
      </w:r>
      <w:r w:rsidRPr="00D20CDF">
        <w:rPr>
          <w:rFonts w:cstheme="minorHAnsi"/>
          <w:i/>
          <w:color w:val="1F3864" w:themeColor="accent1" w:themeShade="80"/>
        </w:rPr>
        <w:t>internal consistency checking</w:t>
      </w:r>
      <w:r w:rsidR="00D20CDF" w:rsidRPr="00D20CDF">
        <w:rPr>
          <w:rFonts w:cstheme="minorHAnsi"/>
          <w:i/>
          <w:color w:val="1F3864" w:themeColor="accent1" w:themeShade="80"/>
        </w:rPr>
        <w:t xml:space="preserve"> is applied to reveal any judgements which are contradictory. </w:t>
      </w:r>
    </w:p>
    <w:p w14:paraId="43480E07" w14:textId="4ECE2B48" w:rsidR="0087006F" w:rsidRDefault="0087006F" w:rsidP="0008688E">
      <w:pPr>
        <w:rPr>
          <w:rFonts w:cstheme="minorHAnsi"/>
          <w:i/>
          <w:color w:val="1F3864" w:themeColor="accent1" w:themeShade="80"/>
        </w:rPr>
      </w:pPr>
    </w:p>
    <w:p w14:paraId="7D263030" w14:textId="6241A3AE" w:rsidR="0087006F" w:rsidRDefault="0087006F" w:rsidP="0008688E">
      <w:pPr>
        <w:rPr>
          <w:rFonts w:cstheme="minorHAnsi"/>
          <w:i/>
          <w:color w:val="1F3864" w:themeColor="accent1" w:themeShade="80"/>
        </w:rPr>
      </w:pPr>
      <w:r w:rsidRPr="0087006F">
        <w:rPr>
          <w:rFonts w:cstheme="minorHAnsi"/>
          <w:b/>
          <w:color w:val="1F3864" w:themeColor="accent1" w:themeShade="80"/>
        </w:rPr>
        <w:t xml:space="preserve">Table </w:t>
      </w:r>
      <w:r w:rsidR="0085750E">
        <w:rPr>
          <w:rFonts w:cstheme="minorHAnsi"/>
          <w:b/>
          <w:color w:val="1F3864" w:themeColor="accent1" w:themeShade="80"/>
        </w:rPr>
        <w:t>5</w:t>
      </w:r>
      <w:r w:rsidRPr="0087006F">
        <w:rPr>
          <w:rFonts w:cstheme="minorHAnsi"/>
          <w:b/>
          <w:color w:val="1F3864" w:themeColor="accent1" w:themeShade="80"/>
        </w:rPr>
        <w:t xml:space="preserve">:  </w:t>
      </w:r>
      <w:r w:rsidR="0021512B">
        <w:rPr>
          <w:rFonts w:cstheme="minorHAnsi"/>
          <w:b/>
          <w:color w:val="1F3864" w:themeColor="accent1" w:themeShade="80"/>
        </w:rPr>
        <w:t xml:space="preserve">Valuations </w:t>
      </w:r>
      <w:r w:rsidRPr="0087006F">
        <w:rPr>
          <w:rFonts w:cstheme="minorHAnsi"/>
          <w:b/>
          <w:color w:val="1F3864" w:themeColor="accent1" w:themeShade="80"/>
        </w:rPr>
        <w:t>for pairwise comparison judgements</w:t>
      </w:r>
    </w:p>
    <w:p w14:paraId="77B94752" w14:textId="73ED3B4B" w:rsidR="0087006F" w:rsidRDefault="0087006F" w:rsidP="0008688E">
      <w:pPr>
        <w:rPr>
          <w:rFonts w:cstheme="minorHAnsi"/>
          <w:i/>
          <w:color w:val="1F3864" w:themeColor="accent1" w:themeShade="80"/>
        </w:rPr>
      </w:pPr>
      <w:r w:rsidRPr="0087006F">
        <w:rPr>
          <w:i/>
          <w:noProof/>
          <w:color w:val="002060"/>
          <w:lang w:eastAsia="en-GB"/>
        </w:rPr>
        <w:drawing>
          <wp:inline distT="0" distB="0" distL="0" distR="0" wp14:anchorId="6F089631" wp14:editId="3776D002">
            <wp:extent cx="4562696" cy="2380336"/>
            <wp:effectExtent l="0" t="0" r="0" b="1270"/>
            <wp:docPr id="3" name="Picture 9">
              <a:extLst xmlns:a="http://schemas.openxmlformats.org/drawingml/2006/main">
                <a:ext uri="{FF2B5EF4-FFF2-40B4-BE49-F238E27FC236}">
                  <a16:creationId xmlns:a16="http://schemas.microsoft.com/office/drawing/2014/main" id="{53378FB6-690C-47B1-89A7-26FEFC55AA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3378FB6-690C-47B1-89A7-26FEFC55AA23}"/>
                        </a:ext>
                      </a:extLst>
                    </pic:cNvPr>
                    <pic:cNvPicPr>
                      <a:picLocks noChangeAspect="1"/>
                    </pic:cNvPicPr>
                  </pic:nvPicPr>
                  <pic:blipFill>
                    <a:blip r:embed="rId14"/>
                    <a:stretch>
                      <a:fillRect/>
                    </a:stretch>
                  </pic:blipFill>
                  <pic:spPr>
                    <a:xfrm>
                      <a:off x="0" y="0"/>
                      <a:ext cx="4562696" cy="2380336"/>
                    </a:xfrm>
                    <a:prstGeom prst="rect">
                      <a:avLst/>
                    </a:prstGeom>
                  </pic:spPr>
                </pic:pic>
              </a:graphicData>
            </a:graphic>
          </wp:inline>
        </w:drawing>
      </w:r>
    </w:p>
    <w:p w14:paraId="776122EA" w14:textId="64855B8C" w:rsidR="0087006F" w:rsidRDefault="0087006F" w:rsidP="0008688E">
      <w:pPr>
        <w:rPr>
          <w:rFonts w:cstheme="minorHAnsi"/>
          <w:i/>
          <w:color w:val="1F3864" w:themeColor="accent1" w:themeShade="80"/>
        </w:rPr>
      </w:pPr>
    </w:p>
    <w:p w14:paraId="3DF2EDFD" w14:textId="0619EF02" w:rsidR="00D20CDF" w:rsidRPr="00D20CDF" w:rsidRDefault="0008688E" w:rsidP="0008688E">
      <w:pPr>
        <w:rPr>
          <w:rFonts w:cstheme="minorHAnsi"/>
          <w:i/>
          <w:color w:val="1F3864" w:themeColor="accent1" w:themeShade="80"/>
        </w:rPr>
      </w:pPr>
      <w:r w:rsidRPr="00D20CDF">
        <w:rPr>
          <w:rFonts w:cstheme="minorHAnsi"/>
          <w:i/>
          <w:color w:val="1F3864" w:themeColor="accent1" w:themeShade="80"/>
        </w:rPr>
        <w:t>While the</w:t>
      </w:r>
      <w:r w:rsidR="00D20CDF" w:rsidRPr="00D20CDF">
        <w:rPr>
          <w:rFonts w:cstheme="minorHAnsi"/>
          <w:i/>
          <w:color w:val="1F3864" w:themeColor="accent1" w:themeShade="80"/>
        </w:rPr>
        <w:t>se</w:t>
      </w:r>
      <w:r w:rsidRPr="00D20CDF">
        <w:rPr>
          <w:rFonts w:cstheme="minorHAnsi"/>
          <w:i/>
          <w:color w:val="1F3864" w:themeColor="accent1" w:themeShade="80"/>
        </w:rPr>
        <w:t xml:space="preserve"> pairwise comparisons between PORTIS measures and/or external factors still rel</w:t>
      </w:r>
      <w:r w:rsidR="00846377">
        <w:rPr>
          <w:rFonts w:cstheme="minorHAnsi"/>
          <w:i/>
          <w:color w:val="1F3864" w:themeColor="accent1" w:themeShade="80"/>
        </w:rPr>
        <w:t>y</w:t>
      </w:r>
      <w:r w:rsidRPr="00D20CDF">
        <w:rPr>
          <w:rFonts w:cstheme="minorHAnsi"/>
          <w:i/>
          <w:color w:val="1F3864" w:themeColor="accent1" w:themeShade="80"/>
        </w:rPr>
        <w:t xml:space="preserve"> on subjective judgements from the experts, any knowledge </w:t>
      </w:r>
      <w:r w:rsidRPr="00D20CDF">
        <w:rPr>
          <w:i/>
          <w:color w:val="1F3864" w:themeColor="accent1" w:themeShade="80"/>
        </w:rPr>
        <w:t>gained from the individual measure evaluation</w:t>
      </w:r>
      <w:r w:rsidRPr="00D20CDF">
        <w:rPr>
          <w:rFonts w:cstheme="minorHAnsi"/>
          <w:i/>
          <w:color w:val="1F3864" w:themeColor="accent1" w:themeShade="80"/>
        </w:rPr>
        <w:t xml:space="preserve"> (e.g. quantified impacts or process information) can be </w:t>
      </w:r>
      <w:r w:rsidR="00D20CDF" w:rsidRPr="00D20CDF">
        <w:rPr>
          <w:rFonts w:cstheme="minorHAnsi"/>
          <w:i/>
          <w:color w:val="1F3864" w:themeColor="accent1" w:themeShade="80"/>
        </w:rPr>
        <w:t xml:space="preserve">used </w:t>
      </w:r>
      <w:r w:rsidRPr="00D20CDF">
        <w:rPr>
          <w:rFonts w:cstheme="minorHAnsi"/>
          <w:i/>
          <w:color w:val="1F3864" w:themeColor="accent1" w:themeShade="80"/>
        </w:rPr>
        <w:t xml:space="preserve">to inform those judgements. </w:t>
      </w:r>
    </w:p>
    <w:p w14:paraId="78FC80D7" w14:textId="31268336" w:rsidR="0008688E" w:rsidRDefault="0008688E" w:rsidP="0008688E">
      <w:pPr>
        <w:rPr>
          <w:i/>
          <w:color w:val="1F3864" w:themeColor="accent1" w:themeShade="80"/>
        </w:rPr>
      </w:pPr>
      <w:r w:rsidRPr="00D20CDF">
        <w:rPr>
          <w:rFonts w:cstheme="minorHAnsi"/>
          <w:i/>
          <w:color w:val="1F3864" w:themeColor="accent1" w:themeShade="80"/>
        </w:rPr>
        <w:t xml:space="preserve">The result is a systematic method for </w:t>
      </w:r>
      <w:r w:rsidRPr="00D20CDF">
        <w:rPr>
          <w:i/>
          <w:color w:val="1F3864" w:themeColor="accent1" w:themeShade="80"/>
        </w:rPr>
        <w:t xml:space="preserve">translation of qualitative judgements comparing two factors at a time into an overall indication of the relative contributions of each PORTIS measure to the impact achieved. </w:t>
      </w:r>
    </w:p>
    <w:p w14:paraId="2D848443" w14:textId="4FD2C96B" w:rsidR="0087006F" w:rsidRDefault="0087006F" w:rsidP="0008688E">
      <w:pPr>
        <w:rPr>
          <w:i/>
          <w:color w:val="1F3864" w:themeColor="accent1" w:themeShade="80"/>
        </w:rPr>
      </w:pPr>
    </w:p>
    <w:p w14:paraId="17A35214" w14:textId="2382B2E2" w:rsidR="00B66A3D" w:rsidRPr="00637861" w:rsidRDefault="00D36553" w:rsidP="00B66A3D">
      <w:pPr>
        <w:rPr>
          <w:i/>
          <w:color w:val="1F3864" w:themeColor="accent1" w:themeShade="80"/>
        </w:rPr>
      </w:pPr>
      <w:r w:rsidRPr="00637861">
        <w:rPr>
          <w:i/>
          <w:color w:val="1F3864" w:themeColor="accent1" w:themeShade="80"/>
        </w:rPr>
        <w:t xml:space="preserve">The strategic level tool allows </w:t>
      </w:r>
      <w:r w:rsidR="00B66A3D" w:rsidRPr="00637861">
        <w:rPr>
          <w:i/>
          <w:color w:val="1F3864" w:themeColor="accent1" w:themeShade="80"/>
        </w:rPr>
        <w:t xml:space="preserve">flexibility in what </w:t>
      </w:r>
      <w:r w:rsidRPr="00637861">
        <w:rPr>
          <w:i/>
          <w:color w:val="1F3864" w:themeColor="accent1" w:themeShade="80"/>
        </w:rPr>
        <w:t xml:space="preserve">are </w:t>
      </w:r>
      <w:r w:rsidR="00B66A3D" w:rsidRPr="00637861">
        <w:rPr>
          <w:i/>
          <w:color w:val="1F3864" w:themeColor="accent1" w:themeShade="80"/>
        </w:rPr>
        <w:t>define</w:t>
      </w:r>
      <w:r w:rsidRPr="00637861">
        <w:rPr>
          <w:i/>
          <w:color w:val="1F3864" w:themeColor="accent1" w:themeShade="80"/>
        </w:rPr>
        <w:t>d</w:t>
      </w:r>
      <w:r w:rsidR="00B66A3D" w:rsidRPr="00637861">
        <w:rPr>
          <w:i/>
          <w:color w:val="1F3864" w:themeColor="accent1" w:themeShade="80"/>
        </w:rPr>
        <w:t xml:space="preserve"> as your strategic objectives and key performance indicators. This means it can be shaped by the data that you have access to.  So, for instance, </w:t>
      </w:r>
      <w:r w:rsidRPr="00637861">
        <w:rPr>
          <w:i/>
          <w:color w:val="1F3864" w:themeColor="accent1" w:themeShade="80"/>
        </w:rPr>
        <w:t xml:space="preserve">if the strategic objective is “increase levels of active travel” then this can be </w:t>
      </w:r>
      <w:r w:rsidR="00B66A3D" w:rsidRPr="00637861">
        <w:rPr>
          <w:i/>
          <w:color w:val="1F3864" w:themeColor="accent1" w:themeShade="80"/>
        </w:rPr>
        <w:t>split into two objectives</w:t>
      </w:r>
      <w:r w:rsidRPr="00637861">
        <w:rPr>
          <w:i/>
          <w:color w:val="1F3864" w:themeColor="accent1" w:themeShade="80"/>
        </w:rPr>
        <w:t xml:space="preserve"> for the assessment</w:t>
      </w:r>
      <w:r w:rsidR="00B66A3D" w:rsidRPr="00637861">
        <w:rPr>
          <w:i/>
          <w:color w:val="1F3864" w:themeColor="accent1" w:themeShade="80"/>
        </w:rPr>
        <w:t xml:space="preserve">: “increased levels of active travel (walking)” and “increased levels of active travel (cycling)”. This allows </w:t>
      </w:r>
      <w:r w:rsidRPr="00637861">
        <w:rPr>
          <w:i/>
          <w:color w:val="1F3864" w:themeColor="accent1" w:themeShade="80"/>
        </w:rPr>
        <w:t xml:space="preserve">collection of data on cycling separate to data on walking (which is more common) </w:t>
      </w:r>
      <w:r w:rsidR="00B66A3D" w:rsidRPr="00637861">
        <w:rPr>
          <w:i/>
          <w:color w:val="1F3864" w:themeColor="accent1" w:themeShade="80"/>
        </w:rPr>
        <w:t>and conduct</w:t>
      </w:r>
      <w:r w:rsidRPr="00637861">
        <w:rPr>
          <w:i/>
          <w:color w:val="1F3864" w:themeColor="accent1" w:themeShade="80"/>
        </w:rPr>
        <w:t>ing</w:t>
      </w:r>
      <w:r w:rsidR="00B66A3D" w:rsidRPr="00637861">
        <w:rPr>
          <w:i/>
          <w:color w:val="1F3864" w:themeColor="accent1" w:themeShade="80"/>
        </w:rPr>
        <w:t xml:space="preserve"> the AHP assessment for the cycling and walking independent of each other</w:t>
      </w:r>
      <w:r w:rsidRPr="00637861">
        <w:rPr>
          <w:i/>
          <w:color w:val="1F3864" w:themeColor="accent1" w:themeShade="80"/>
        </w:rPr>
        <w:t xml:space="preserve"> is more logical and provides more informative results</w:t>
      </w:r>
      <w:r w:rsidR="00B66A3D" w:rsidRPr="00637861">
        <w:rPr>
          <w:i/>
          <w:color w:val="1F3864" w:themeColor="accent1" w:themeShade="80"/>
        </w:rPr>
        <w:t>.    </w:t>
      </w:r>
    </w:p>
    <w:p w14:paraId="6F9083C8" w14:textId="77777777" w:rsidR="00B66A3D" w:rsidRPr="00637861" w:rsidRDefault="00B66A3D" w:rsidP="00B66A3D">
      <w:pPr>
        <w:rPr>
          <w:i/>
          <w:color w:val="1F3864" w:themeColor="accent1" w:themeShade="80"/>
        </w:rPr>
      </w:pPr>
    </w:p>
    <w:p w14:paraId="161C8A8B" w14:textId="1FD75D3F" w:rsidR="00B66A3D" w:rsidRPr="00637861" w:rsidRDefault="00D36553" w:rsidP="00B66A3D">
      <w:pPr>
        <w:rPr>
          <w:i/>
          <w:color w:val="1F3864" w:themeColor="accent1" w:themeShade="80"/>
        </w:rPr>
      </w:pPr>
      <w:r w:rsidRPr="00637861">
        <w:rPr>
          <w:i/>
          <w:color w:val="1F3864" w:themeColor="accent1" w:themeShade="80"/>
        </w:rPr>
        <w:t xml:space="preserve">Often data that is available </w:t>
      </w:r>
      <w:r w:rsidR="00B66A3D" w:rsidRPr="00637861">
        <w:rPr>
          <w:i/>
          <w:color w:val="1F3864" w:themeColor="accent1" w:themeShade="80"/>
        </w:rPr>
        <w:t>var</w:t>
      </w:r>
      <w:r w:rsidRPr="00637861">
        <w:rPr>
          <w:i/>
          <w:color w:val="1F3864" w:themeColor="accent1" w:themeShade="80"/>
        </w:rPr>
        <w:t>ies</w:t>
      </w:r>
      <w:r w:rsidR="00B66A3D" w:rsidRPr="00637861">
        <w:rPr>
          <w:i/>
          <w:color w:val="1F3864" w:themeColor="accent1" w:themeShade="80"/>
        </w:rPr>
        <w:t xml:space="preserve"> by journey type, </w:t>
      </w:r>
      <w:r w:rsidRPr="00637861">
        <w:rPr>
          <w:i/>
          <w:color w:val="1F3864" w:themeColor="accent1" w:themeShade="80"/>
        </w:rPr>
        <w:t xml:space="preserve">and again this can be accommodated by the strategic level tool </w:t>
      </w:r>
      <w:r w:rsidR="00B66A3D" w:rsidRPr="00637861">
        <w:rPr>
          <w:i/>
          <w:color w:val="1F3864" w:themeColor="accent1" w:themeShade="80"/>
        </w:rPr>
        <w:t>by being more specific in the objective. Instead of “reduction in number of car journeys”</w:t>
      </w:r>
      <w:r w:rsidRPr="00637861">
        <w:rPr>
          <w:i/>
          <w:color w:val="1F3864" w:themeColor="accent1" w:themeShade="80"/>
        </w:rPr>
        <w:t>, this could be de</w:t>
      </w:r>
      <w:r w:rsidR="00B66A3D" w:rsidRPr="00637861">
        <w:rPr>
          <w:i/>
          <w:color w:val="1F3864" w:themeColor="accent1" w:themeShade="80"/>
        </w:rPr>
        <w:t>fine</w:t>
      </w:r>
      <w:r w:rsidRPr="00637861">
        <w:rPr>
          <w:i/>
          <w:color w:val="1F3864" w:themeColor="accent1" w:themeShade="80"/>
        </w:rPr>
        <w:t>d</w:t>
      </w:r>
      <w:r w:rsidR="00B66A3D" w:rsidRPr="00637861">
        <w:rPr>
          <w:i/>
          <w:color w:val="1F3864" w:themeColor="accent1" w:themeShade="80"/>
        </w:rPr>
        <w:t xml:space="preserve"> as “reduction in number of car journeys for commuter trips”. If some of your measures address other types of trips, you could add another objective and KPI to reflect this e.g. “reduction in number of car journeys for leisure trips”.  </w:t>
      </w:r>
    </w:p>
    <w:p w14:paraId="2420ED84" w14:textId="1E449A33" w:rsidR="00D36553" w:rsidRPr="00637861" w:rsidRDefault="00D36553" w:rsidP="00B66A3D">
      <w:pPr>
        <w:rPr>
          <w:i/>
          <w:color w:val="1F3864" w:themeColor="accent1" w:themeShade="80"/>
        </w:rPr>
      </w:pPr>
    </w:p>
    <w:p w14:paraId="740A89C3" w14:textId="4823DCD9" w:rsidR="00B66A3D" w:rsidRPr="00637861" w:rsidRDefault="00B66A3D" w:rsidP="00637861">
      <w:pPr>
        <w:rPr>
          <w:rFonts w:eastAsia="Times New Roman"/>
          <w:i/>
          <w:color w:val="1F3864" w:themeColor="accent1" w:themeShade="80"/>
        </w:rPr>
      </w:pPr>
      <w:r w:rsidRPr="00637861">
        <w:rPr>
          <w:i/>
          <w:color w:val="1F3864" w:themeColor="accent1" w:themeShade="80"/>
        </w:rPr>
        <w:t xml:space="preserve">If </w:t>
      </w:r>
      <w:r w:rsidR="00D36553" w:rsidRPr="00637861">
        <w:rPr>
          <w:i/>
          <w:color w:val="1F3864" w:themeColor="accent1" w:themeShade="80"/>
        </w:rPr>
        <w:t xml:space="preserve">there are </w:t>
      </w:r>
      <w:r w:rsidRPr="00637861">
        <w:rPr>
          <w:i/>
          <w:color w:val="1F3864" w:themeColor="accent1" w:themeShade="80"/>
        </w:rPr>
        <w:t xml:space="preserve">areas of the city where the impacts may be contradictory (e.g. </w:t>
      </w:r>
      <w:r w:rsidR="00D36553" w:rsidRPr="00637861">
        <w:rPr>
          <w:i/>
          <w:color w:val="1F3864" w:themeColor="accent1" w:themeShade="80"/>
        </w:rPr>
        <w:t>20</w:t>
      </w:r>
      <w:r w:rsidRPr="00637861">
        <w:rPr>
          <w:i/>
          <w:color w:val="1F3864" w:themeColor="accent1" w:themeShade="80"/>
        </w:rPr>
        <w:t xml:space="preserve">% reduction in car trips in city centre but 5% </w:t>
      </w:r>
      <w:r w:rsidR="00D36553" w:rsidRPr="00637861">
        <w:rPr>
          <w:i/>
          <w:color w:val="1F3864" w:themeColor="accent1" w:themeShade="80"/>
        </w:rPr>
        <w:t xml:space="preserve">reduction </w:t>
      </w:r>
      <w:r w:rsidRPr="00637861">
        <w:rPr>
          <w:i/>
          <w:color w:val="1F3864" w:themeColor="accent1" w:themeShade="80"/>
        </w:rPr>
        <w:t xml:space="preserve">in car trips around port) then again it may be best to split the objective </w:t>
      </w:r>
      <w:r w:rsidR="00637861" w:rsidRPr="00637861">
        <w:rPr>
          <w:i/>
          <w:color w:val="1F3864" w:themeColor="accent1" w:themeShade="80"/>
        </w:rPr>
        <w:t xml:space="preserve">when conducting the assessment </w:t>
      </w:r>
      <w:r w:rsidRPr="00637861">
        <w:rPr>
          <w:i/>
          <w:color w:val="1F3864" w:themeColor="accent1" w:themeShade="80"/>
        </w:rPr>
        <w:t xml:space="preserve">by adding area specific criteria. So the objective “reduction in number of car journeys” may become two objectives: “reduction in number of car journeys in city centre” and “reduction in number of car journeys around port”. As described above these can potentially be further split by adding the specific trip purposes as well.  </w:t>
      </w:r>
    </w:p>
    <w:p w14:paraId="3833A4D0" w14:textId="77777777" w:rsidR="004448E8" w:rsidRDefault="004448E8" w:rsidP="00B66A3D">
      <w:pPr>
        <w:rPr>
          <w:i/>
          <w:color w:val="1F3864" w:themeColor="accent1" w:themeShade="80"/>
        </w:rPr>
      </w:pPr>
    </w:p>
    <w:p w14:paraId="5353E8E9" w14:textId="7EF2805E" w:rsidR="00B66A3D" w:rsidRDefault="00637861" w:rsidP="00B66A3D">
      <w:pPr>
        <w:rPr>
          <w:i/>
          <w:color w:val="1F3864" w:themeColor="accent1" w:themeShade="80"/>
        </w:rPr>
      </w:pPr>
      <w:r w:rsidRPr="00EE53A6">
        <w:rPr>
          <w:i/>
          <w:color w:val="1F3864" w:themeColor="accent1" w:themeShade="80"/>
        </w:rPr>
        <w:t>So</w:t>
      </w:r>
      <w:r w:rsidR="00EE53A6">
        <w:rPr>
          <w:i/>
          <w:color w:val="1F3864" w:themeColor="accent1" w:themeShade="80"/>
        </w:rPr>
        <w:t>,</w:t>
      </w:r>
      <w:r w:rsidRPr="00EE53A6">
        <w:rPr>
          <w:i/>
          <w:color w:val="1F3864" w:themeColor="accent1" w:themeShade="80"/>
        </w:rPr>
        <w:t xml:space="preserve"> in summary the strategic level tool is useful </w:t>
      </w:r>
      <w:r w:rsidR="00EE53A6">
        <w:rPr>
          <w:i/>
          <w:color w:val="1F3864" w:themeColor="accent1" w:themeShade="80"/>
        </w:rPr>
        <w:t>for a</w:t>
      </w:r>
      <w:r w:rsidR="00EE53A6" w:rsidRPr="00EE53A6">
        <w:rPr>
          <w:i/>
          <w:color w:val="1F3864" w:themeColor="accent1" w:themeShade="80"/>
        </w:rPr>
        <w:t xml:space="preserve">ssessment of transport related </w:t>
      </w:r>
      <w:r w:rsidR="00EE53A6">
        <w:rPr>
          <w:i/>
          <w:color w:val="1F3864" w:themeColor="accent1" w:themeShade="80"/>
        </w:rPr>
        <w:t xml:space="preserve">city level </w:t>
      </w:r>
      <w:r w:rsidR="00EE53A6" w:rsidRPr="00EE53A6">
        <w:rPr>
          <w:i/>
          <w:color w:val="1F3864" w:themeColor="accent1" w:themeShade="80"/>
        </w:rPr>
        <w:t>indicators</w:t>
      </w:r>
      <w:r w:rsidR="00EE53A6">
        <w:rPr>
          <w:i/>
          <w:color w:val="1F3864" w:themeColor="accent1" w:themeShade="80"/>
        </w:rPr>
        <w:t xml:space="preserve"> </w:t>
      </w:r>
      <w:r>
        <w:rPr>
          <w:i/>
          <w:color w:val="1F3864" w:themeColor="accent1" w:themeShade="80"/>
        </w:rPr>
        <w:t>in the following circumstances</w:t>
      </w:r>
      <w:r w:rsidR="00EE53A6">
        <w:rPr>
          <w:i/>
          <w:color w:val="1F3864" w:themeColor="accent1" w:themeShade="80"/>
        </w:rPr>
        <w:t>:</w:t>
      </w:r>
    </w:p>
    <w:p w14:paraId="561E55F1" w14:textId="14DCD3C5" w:rsidR="00637861" w:rsidRDefault="00637861" w:rsidP="00EE53A6">
      <w:pPr>
        <w:pStyle w:val="ListParagraph"/>
        <w:numPr>
          <w:ilvl w:val="0"/>
          <w:numId w:val="12"/>
        </w:numPr>
        <w:rPr>
          <w:i/>
          <w:color w:val="1F3864" w:themeColor="accent1" w:themeShade="80"/>
        </w:rPr>
      </w:pPr>
      <w:r w:rsidRPr="00637861">
        <w:rPr>
          <w:i/>
          <w:color w:val="1F3864" w:themeColor="accent1" w:themeShade="80"/>
        </w:rPr>
        <w:t>Where multiple PORTIS measures are acting simultaneously on the strategic objective / KPI value</w:t>
      </w:r>
      <w:r>
        <w:rPr>
          <w:i/>
          <w:color w:val="1F3864" w:themeColor="accent1" w:themeShade="80"/>
        </w:rPr>
        <w:t xml:space="preserve"> along with external factors</w:t>
      </w:r>
      <w:r w:rsidR="00EE53A6">
        <w:rPr>
          <w:i/>
          <w:color w:val="1F3864" w:themeColor="accent1" w:themeShade="80"/>
        </w:rPr>
        <w:t>,</w:t>
      </w:r>
      <w:r>
        <w:rPr>
          <w:i/>
          <w:color w:val="1F3864" w:themeColor="accent1" w:themeShade="80"/>
        </w:rPr>
        <w:t xml:space="preserve"> and hence </w:t>
      </w:r>
      <w:r w:rsidR="00EE53A6">
        <w:rPr>
          <w:i/>
          <w:color w:val="1F3864" w:themeColor="accent1" w:themeShade="80"/>
        </w:rPr>
        <w:t xml:space="preserve">straightforward </w:t>
      </w:r>
      <w:r>
        <w:rPr>
          <w:i/>
          <w:color w:val="1F3864" w:themeColor="accent1" w:themeShade="80"/>
        </w:rPr>
        <w:t xml:space="preserve">judgements on their relative contributions become difficult.  </w:t>
      </w:r>
    </w:p>
    <w:p w14:paraId="5A6EBC11" w14:textId="42E74BE3" w:rsidR="00637861" w:rsidRPr="00637861" w:rsidRDefault="00EE53A6" w:rsidP="00EE53A6">
      <w:pPr>
        <w:pStyle w:val="ListParagraph"/>
        <w:numPr>
          <w:ilvl w:val="0"/>
          <w:numId w:val="12"/>
        </w:numPr>
        <w:rPr>
          <w:i/>
          <w:color w:val="1F3864" w:themeColor="accent1" w:themeShade="80"/>
        </w:rPr>
      </w:pPr>
      <w:r>
        <w:rPr>
          <w:i/>
          <w:color w:val="1F3864" w:themeColor="accent1" w:themeShade="80"/>
        </w:rPr>
        <w:t>It is also useful to provide more tailored assessment w</w:t>
      </w:r>
      <w:r w:rsidR="00637861">
        <w:rPr>
          <w:i/>
          <w:color w:val="1F3864" w:themeColor="accent1" w:themeShade="80"/>
        </w:rPr>
        <w:t xml:space="preserve">here specific variations to the strategic objectives/KPI’s make sense due to availability of data </w:t>
      </w:r>
      <w:r>
        <w:rPr>
          <w:i/>
          <w:color w:val="1F3864" w:themeColor="accent1" w:themeShade="80"/>
        </w:rPr>
        <w:t>and/</w:t>
      </w:r>
      <w:r w:rsidR="00637861">
        <w:rPr>
          <w:i/>
          <w:color w:val="1F3864" w:themeColor="accent1" w:themeShade="80"/>
        </w:rPr>
        <w:t xml:space="preserve">or to better reflect the </w:t>
      </w:r>
      <w:r>
        <w:rPr>
          <w:i/>
          <w:color w:val="1F3864" w:themeColor="accent1" w:themeShade="80"/>
        </w:rPr>
        <w:t xml:space="preserve">scope of the measures introduced. </w:t>
      </w:r>
      <w:r w:rsidR="00637861">
        <w:rPr>
          <w:i/>
          <w:color w:val="1F3864" w:themeColor="accent1" w:themeShade="80"/>
        </w:rPr>
        <w:t xml:space="preserve">  </w:t>
      </w:r>
    </w:p>
    <w:p w14:paraId="2FCD92BB" w14:textId="77777777" w:rsidR="00637861" w:rsidRDefault="00637861" w:rsidP="00B66A3D">
      <w:pPr>
        <w:rPr>
          <w:i/>
          <w:color w:val="1F3864" w:themeColor="accent1" w:themeShade="80"/>
        </w:rPr>
      </w:pPr>
    </w:p>
    <w:p w14:paraId="453543C4" w14:textId="71C7C5DA" w:rsidR="00637861" w:rsidRDefault="00EE53A6" w:rsidP="00B66A3D">
      <w:pPr>
        <w:rPr>
          <w:i/>
          <w:color w:val="1F3864" w:themeColor="accent1" w:themeShade="80"/>
        </w:rPr>
      </w:pPr>
      <w:r>
        <w:rPr>
          <w:i/>
          <w:color w:val="1F3864" w:themeColor="accent1" w:themeShade="80"/>
        </w:rPr>
        <w:t xml:space="preserve">If only one PORTIS measure contributes to a strategic </w:t>
      </w:r>
      <w:r w:rsidR="0087006F">
        <w:rPr>
          <w:i/>
          <w:color w:val="1F3864" w:themeColor="accent1" w:themeShade="80"/>
        </w:rPr>
        <w:t>objective,</w:t>
      </w:r>
      <w:r>
        <w:rPr>
          <w:i/>
          <w:color w:val="1F3864" w:themeColor="accent1" w:themeShade="80"/>
        </w:rPr>
        <w:t xml:space="preserve"> then there is no need to apply the strategic level tool as its effectiveness will be evaluated adequately by the individual measure evaluation along with the straightforward city level judgements following the approach described </w:t>
      </w:r>
      <w:r w:rsidR="00D92D55">
        <w:rPr>
          <w:i/>
          <w:color w:val="1F3864" w:themeColor="accent1" w:themeShade="80"/>
        </w:rPr>
        <w:t xml:space="preserve">for Workshop 2 </w:t>
      </w:r>
      <w:r>
        <w:rPr>
          <w:i/>
          <w:color w:val="1F3864" w:themeColor="accent1" w:themeShade="80"/>
        </w:rPr>
        <w:t xml:space="preserve">in Section 3. </w:t>
      </w:r>
    </w:p>
    <w:p w14:paraId="00B15EC0" w14:textId="77777777" w:rsidR="00B66A3D" w:rsidRPr="00637861" w:rsidRDefault="00B66A3D" w:rsidP="00B66A3D">
      <w:pPr>
        <w:rPr>
          <w:color w:val="1F3864" w:themeColor="accent1" w:themeShade="80"/>
        </w:rPr>
      </w:pPr>
    </w:p>
    <w:p w14:paraId="2F8C8D18" w14:textId="2C221FAD" w:rsidR="00B66A3D" w:rsidRDefault="00B66A3D" w:rsidP="00FE616C">
      <w:pPr>
        <w:rPr>
          <w:i/>
          <w:color w:val="002060"/>
        </w:rPr>
      </w:pPr>
    </w:p>
    <w:p w14:paraId="3425E7F8" w14:textId="6BCDB717" w:rsidR="00EE53A6" w:rsidRPr="00FF0A0F" w:rsidRDefault="0087006F" w:rsidP="00FE616C">
      <w:pPr>
        <w:rPr>
          <w:b/>
          <w:i/>
          <w:color w:val="002060"/>
        </w:rPr>
      </w:pPr>
      <w:r w:rsidRPr="00FF0A0F">
        <w:rPr>
          <w:b/>
          <w:i/>
          <w:color w:val="002060"/>
        </w:rPr>
        <w:t xml:space="preserve">Procedure for applying the </w:t>
      </w:r>
      <w:r w:rsidR="00EE53A6" w:rsidRPr="00FF0A0F">
        <w:rPr>
          <w:b/>
          <w:i/>
          <w:color w:val="002060"/>
        </w:rPr>
        <w:t>Strategic Level Tool</w:t>
      </w:r>
    </w:p>
    <w:p w14:paraId="3E0DA50A" w14:textId="77777777" w:rsidR="00B66A3D" w:rsidRDefault="00B66A3D" w:rsidP="00FE616C">
      <w:pPr>
        <w:rPr>
          <w:i/>
          <w:color w:val="002060"/>
        </w:rPr>
      </w:pPr>
    </w:p>
    <w:p w14:paraId="64B90558" w14:textId="7F886212" w:rsidR="00685B74" w:rsidRPr="00685B74" w:rsidRDefault="004448E8" w:rsidP="00685B74">
      <w:pPr>
        <w:rPr>
          <w:i/>
          <w:color w:val="002060"/>
        </w:rPr>
      </w:pPr>
      <w:r>
        <w:rPr>
          <w:i/>
          <w:color w:val="002060"/>
        </w:rPr>
        <w:t xml:space="preserve">The use of the strategic level tool should be firstly undertaken by the LEMs at each site for the strategic objectives / city level KPIs that are appropriate. </w:t>
      </w:r>
      <w:r w:rsidR="0087006F">
        <w:rPr>
          <w:i/>
          <w:color w:val="002060"/>
        </w:rPr>
        <w:t>During this initial assessment LEMs, in consultation with the</w:t>
      </w:r>
      <w:r w:rsidR="00F76692">
        <w:rPr>
          <w:i/>
          <w:color w:val="002060"/>
        </w:rPr>
        <w:t xml:space="preserve"> LIMs</w:t>
      </w:r>
      <w:r w:rsidR="0087006F">
        <w:rPr>
          <w:i/>
          <w:color w:val="002060"/>
        </w:rPr>
        <w:t xml:space="preserve">, will </w:t>
      </w:r>
      <w:r>
        <w:rPr>
          <w:i/>
          <w:color w:val="002060"/>
        </w:rPr>
        <w:t>identify the indicators to be subject to th</w:t>
      </w:r>
      <w:r w:rsidR="0087006F">
        <w:rPr>
          <w:i/>
          <w:color w:val="002060"/>
        </w:rPr>
        <w:t xml:space="preserve">e </w:t>
      </w:r>
      <w:r>
        <w:rPr>
          <w:i/>
          <w:color w:val="002060"/>
        </w:rPr>
        <w:t>assessment and will specify the PORTIS measures and external factors that have influence on those indicators. The LEMs</w:t>
      </w:r>
      <w:r w:rsidR="00F76692">
        <w:rPr>
          <w:i/>
          <w:color w:val="002060"/>
        </w:rPr>
        <w:t>/LIMs</w:t>
      </w:r>
      <w:r>
        <w:rPr>
          <w:i/>
          <w:color w:val="002060"/>
        </w:rPr>
        <w:t xml:space="preserve"> should then follow the AHP approach undertaking the pairwise comparisons for each of the indicator</w:t>
      </w:r>
      <w:r w:rsidR="0087006F">
        <w:rPr>
          <w:i/>
          <w:color w:val="002060"/>
        </w:rPr>
        <w:t>s</w:t>
      </w:r>
      <w:r>
        <w:rPr>
          <w:i/>
          <w:color w:val="002060"/>
        </w:rPr>
        <w:t xml:space="preserve"> to</w:t>
      </w:r>
      <w:r w:rsidR="00FF0A0F">
        <w:rPr>
          <w:i/>
          <w:color w:val="002060"/>
        </w:rPr>
        <w:t xml:space="preserve"> get an initial set of outputs. </w:t>
      </w:r>
      <w:r w:rsidR="00F76692">
        <w:rPr>
          <w:i/>
          <w:color w:val="002060"/>
        </w:rPr>
        <w:t>Detailed guidance on each step is given in the Strategic Level Tool.</w:t>
      </w:r>
      <w:r w:rsidR="00137A1D">
        <w:rPr>
          <w:i/>
          <w:color w:val="002060"/>
        </w:rPr>
        <w:t xml:space="preserve"> </w:t>
      </w:r>
      <w:r w:rsidR="00685B74">
        <w:rPr>
          <w:i/>
          <w:color w:val="002060"/>
        </w:rPr>
        <w:t xml:space="preserve">This initial assessment should be undertaken prior to </w:t>
      </w:r>
      <w:r w:rsidR="00685B74" w:rsidRPr="00685B74">
        <w:rPr>
          <w:i/>
          <w:color w:val="002060"/>
        </w:rPr>
        <w:t>Workshop 2 (PORTIS measure influence) detailed in Section 3</w:t>
      </w:r>
      <w:r w:rsidR="00685B74">
        <w:rPr>
          <w:i/>
          <w:color w:val="002060"/>
        </w:rPr>
        <w:t>.</w:t>
      </w:r>
    </w:p>
    <w:p w14:paraId="05CA2976" w14:textId="77777777" w:rsidR="00F76692" w:rsidRDefault="00F76692" w:rsidP="00FE616C">
      <w:pPr>
        <w:rPr>
          <w:i/>
          <w:color w:val="002060"/>
        </w:rPr>
      </w:pPr>
    </w:p>
    <w:p w14:paraId="0011E29F" w14:textId="1DD45E5C" w:rsidR="00FF0A0F" w:rsidRDefault="00F76692" w:rsidP="00FE616C">
      <w:pPr>
        <w:rPr>
          <w:i/>
          <w:color w:val="002060"/>
        </w:rPr>
      </w:pPr>
      <w:r>
        <w:rPr>
          <w:i/>
          <w:color w:val="002060"/>
        </w:rPr>
        <w:t xml:space="preserve">Table </w:t>
      </w:r>
      <w:r w:rsidR="0085750E">
        <w:rPr>
          <w:i/>
          <w:color w:val="002060"/>
        </w:rPr>
        <w:t>6</w:t>
      </w:r>
      <w:r>
        <w:rPr>
          <w:i/>
          <w:color w:val="002060"/>
        </w:rPr>
        <w:t xml:space="preserve"> provides an example of a completed pairwise comparison table based on applying judgements as detailed in Table </w:t>
      </w:r>
      <w:r w:rsidR="0085750E">
        <w:rPr>
          <w:i/>
          <w:color w:val="002060"/>
        </w:rPr>
        <w:t>5</w:t>
      </w:r>
      <w:r>
        <w:rPr>
          <w:i/>
          <w:color w:val="002060"/>
        </w:rPr>
        <w:t xml:space="preserve">. The final output is a table containing indications </w:t>
      </w:r>
      <w:r w:rsidR="00685B74">
        <w:rPr>
          <w:i/>
          <w:color w:val="002060"/>
        </w:rPr>
        <w:t>of</w:t>
      </w:r>
      <w:r>
        <w:rPr>
          <w:i/>
          <w:color w:val="002060"/>
        </w:rPr>
        <w:t xml:space="preserve"> the p</w:t>
      </w:r>
      <w:r w:rsidRPr="0087006F">
        <w:rPr>
          <w:i/>
          <w:color w:val="002060"/>
        </w:rPr>
        <w:t xml:space="preserve">roportion of change in KPI value attributed to </w:t>
      </w:r>
      <w:r>
        <w:rPr>
          <w:i/>
          <w:color w:val="002060"/>
        </w:rPr>
        <w:t xml:space="preserve">each PORTIS </w:t>
      </w:r>
      <w:r w:rsidRPr="0087006F">
        <w:rPr>
          <w:i/>
          <w:color w:val="002060"/>
        </w:rPr>
        <w:t>measure</w:t>
      </w:r>
      <w:r>
        <w:rPr>
          <w:i/>
          <w:color w:val="002060"/>
        </w:rPr>
        <w:t xml:space="preserve"> as well as to external trends/factors (the Business as Usual scenario)</w:t>
      </w:r>
      <w:r w:rsidR="00FF0A0F">
        <w:rPr>
          <w:i/>
          <w:color w:val="002060"/>
        </w:rPr>
        <w:t xml:space="preserve"> as illustrated in Table </w:t>
      </w:r>
      <w:r w:rsidR="0085750E">
        <w:rPr>
          <w:i/>
          <w:color w:val="002060"/>
        </w:rPr>
        <w:t>7</w:t>
      </w:r>
      <w:r>
        <w:rPr>
          <w:i/>
          <w:color w:val="002060"/>
        </w:rPr>
        <w:t xml:space="preserve">. </w:t>
      </w:r>
    </w:p>
    <w:p w14:paraId="4169686E" w14:textId="77777777" w:rsidR="00FF0A0F" w:rsidRDefault="00FF0A0F" w:rsidP="00FE616C">
      <w:pPr>
        <w:rPr>
          <w:i/>
          <w:color w:val="002060"/>
        </w:rPr>
      </w:pPr>
    </w:p>
    <w:p w14:paraId="08682AA6" w14:textId="6DAC2D1E" w:rsidR="00BA6570" w:rsidRDefault="00F76692" w:rsidP="004E2E9E">
      <w:pPr>
        <w:rPr>
          <w:i/>
          <w:color w:val="002060"/>
        </w:rPr>
      </w:pPr>
      <w:r>
        <w:rPr>
          <w:i/>
          <w:color w:val="002060"/>
        </w:rPr>
        <w:t xml:space="preserve">While </w:t>
      </w:r>
      <w:r w:rsidR="0085750E">
        <w:rPr>
          <w:i/>
          <w:color w:val="002060"/>
        </w:rPr>
        <w:t>the data in Table 7</w:t>
      </w:r>
      <w:r w:rsidR="00FF0A0F">
        <w:rPr>
          <w:i/>
          <w:color w:val="002060"/>
        </w:rPr>
        <w:t xml:space="preserve"> are presented as quantified percentages they should not be viewed as accurate and robust at this stage. </w:t>
      </w:r>
      <w:r w:rsidR="00BA6570">
        <w:rPr>
          <w:i/>
          <w:color w:val="002060"/>
        </w:rPr>
        <w:t xml:space="preserve">For this </w:t>
      </w:r>
      <w:r w:rsidR="005C191D">
        <w:rPr>
          <w:i/>
          <w:color w:val="002060"/>
        </w:rPr>
        <w:t>reason,</w:t>
      </w:r>
      <w:r w:rsidR="00BA6570">
        <w:rPr>
          <w:i/>
          <w:color w:val="002060"/>
        </w:rPr>
        <w:t xml:space="preserve"> </w:t>
      </w:r>
      <w:r w:rsidR="005C191D">
        <w:rPr>
          <w:i/>
          <w:color w:val="002060"/>
        </w:rPr>
        <w:t xml:space="preserve">it may be preferable to present the % results in Table </w:t>
      </w:r>
      <w:r w:rsidR="0085750E">
        <w:rPr>
          <w:i/>
          <w:color w:val="002060"/>
        </w:rPr>
        <w:t>7</w:t>
      </w:r>
      <w:r w:rsidR="005C191D">
        <w:rPr>
          <w:i/>
          <w:color w:val="002060"/>
        </w:rPr>
        <w:t xml:space="preserve"> as gradings (low, medium, high, very high) describing the relative contribution to changes in indicator value. An approach for grading the % results has been developed, based on standardised scores which accounts for the number of measures/</w:t>
      </w:r>
      <w:r w:rsidR="00074DA4">
        <w:rPr>
          <w:i/>
          <w:color w:val="002060"/>
        </w:rPr>
        <w:t>factors included in the analysis</w:t>
      </w:r>
      <w:r w:rsidR="005C191D">
        <w:rPr>
          <w:i/>
          <w:color w:val="002060"/>
        </w:rPr>
        <w:t xml:space="preserve">. Table </w:t>
      </w:r>
      <w:r w:rsidR="0085750E">
        <w:rPr>
          <w:i/>
          <w:color w:val="002060"/>
        </w:rPr>
        <w:t>8</w:t>
      </w:r>
      <w:r w:rsidR="005C191D">
        <w:rPr>
          <w:i/>
          <w:color w:val="002060"/>
        </w:rPr>
        <w:t xml:space="preserve"> shows the graded descriptions for the Table 3 % results.  </w:t>
      </w:r>
    </w:p>
    <w:p w14:paraId="63E6BA62" w14:textId="77777777" w:rsidR="00BA6570" w:rsidRDefault="00BA6570" w:rsidP="004E2E9E">
      <w:pPr>
        <w:rPr>
          <w:i/>
          <w:color w:val="002060"/>
        </w:rPr>
      </w:pPr>
    </w:p>
    <w:p w14:paraId="42DAB46B" w14:textId="5294D2E3" w:rsidR="00FF0A0F" w:rsidRPr="004E2E9E" w:rsidRDefault="00FF0A0F" w:rsidP="004E2E9E">
      <w:pPr>
        <w:rPr>
          <w:i/>
          <w:color w:val="002060"/>
        </w:rPr>
      </w:pPr>
      <w:r>
        <w:rPr>
          <w:i/>
          <w:color w:val="002060"/>
        </w:rPr>
        <w:t>The</w:t>
      </w:r>
      <w:r w:rsidR="005C191D">
        <w:rPr>
          <w:i/>
          <w:color w:val="002060"/>
        </w:rPr>
        <w:t>se graded descriptions of relative contribution to changes in indicator value</w:t>
      </w:r>
      <w:r>
        <w:rPr>
          <w:i/>
          <w:color w:val="002060"/>
        </w:rPr>
        <w:t xml:space="preserve"> serve as a </w:t>
      </w:r>
      <w:r w:rsidR="004E2E9E">
        <w:rPr>
          <w:i/>
          <w:color w:val="002060"/>
        </w:rPr>
        <w:t xml:space="preserve">useful </w:t>
      </w:r>
      <w:r>
        <w:rPr>
          <w:i/>
          <w:color w:val="002060"/>
        </w:rPr>
        <w:t>prompt for further discussions with measure leaders and local stakeholders during the final workshops at the end of the PORTIS project evaluation (i.e. Workshop 2 described in Section 3</w:t>
      </w:r>
      <w:r w:rsidR="004E2E9E">
        <w:rPr>
          <w:i/>
          <w:color w:val="002060"/>
        </w:rPr>
        <w:t>)</w:t>
      </w:r>
      <w:r>
        <w:rPr>
          <w:i/>
          <w:color w:val="002060"/>
        </w:rPr>
        <w:t xml:space="preserve">. During this </w:t>
      </w:r>
      <w:r w:rsidR="004E2E9E">
        <w:rPr>
          <w:i/>
          <w:color w:val="002060"/>
        </w:rPr>
        <w:t xml:space="preserve">final </w:t>
      </w:r>
      <w:r>
        <w:rPr>
          <w:i/>
          <w:color w:val="002060"/>
        </w:rPr>
        <w:t>workshop the local stakehold</w:t>
      </w:r>
      <w:r w:rsidR="004E2E9E">
        <w:rPr>
          <w:i/>
          <w:color w:val="002060"/>
        </w:rPr>
        <w:t>e</w:t>
      </w:r>
      <w:r>
        <w:rPr>
          <w:i/>
          <w:color w:val="002060"/>
        </w:rPr>
        <w:t xml:space="preserve">rs and measure leaders should review and reassess the pairwise </w:t>
      </w:r>
      <w:r w:rsidR="004E2E9E">
        <w:rPr>
          <w:i/>
          <w:color w:val="002060"/>
        </w:rPr>
        <w:t>comparison valuations (</w:t>
      </w:r>
      <w:r>
        <w:rPr>
          <w:i/>
          <w:color w:val="002060"/>
        </w:rPr>
        <w:t xml:space="preserve">i.e. </w:t>
      </w:r>
      <w:r w:rsidR="004E2E9E">
        <w:rPr>
          <w:i/>
          <w:color w:val="002060"/>
        </w:rPr>
        <w:t xml:space="preserve">see example in Table </w:t>
      </w:r>
      <w:r w:rsidR="0085750E">
        <w:rPr>
          <w:i/>
          <w:color w:val="002060"/>
        </w:rPr>
        <w:t>6</w:t>
      </w:r>
      <w:r w:rsidR="004E2E9E">
        <w:rPr>
          <w:i/>
          <w:color w:val="002060"/>
        </w:rPr>
        <w:t>)</w:t>
      </w:r>
      <w:r>
        <w:rPr>
          <w:i/>
          <w:color w:val="002060"/>
        </w:rPr>
        <w:t xml:space="preserve"> in light of the more complete information and knowledge available to them</w:t>
      </w:r>
      <w:r w:rsidR="004E2E9E">
        <w:rPr>
          <w:i/>
          <w:color w:val="002060"/>
        </w:rPr>
        <w:t xml:space="preserve"> at this time. This will include results from individual measure impact and process evaluation documentation </w:t>
      </w:r>
      <w:r w:rsidR="004E2E9E" w:rsidRPr="00D92D55">
        <w:rPr>
          <w:i/>
          <w:color w:val="002060"/>
        </w:rPr>
        <w:t>giv</w:t>
      </w:r>
      <w:r w:rsidR="004E2E9E">
        <w:rPr>
          <w:i/>
          <w:color w:val="002060"/>
        </w:rPr>
        <w:t>ing</w:t>
      </w:r>
      <w:r w:rsidR="004E2E9E" w:rsidRPr="00D92D55">
        <w:rPr>
          <w:i/>
          <w:color w:val="002060"/>
        </w:rPr>
        <w:t xml:space="preserve"> some improved understanding of the effectiveness and scale/extent of the impacts from each measure</w:t>
      </w:r>
      <w:r w:rsidR="004E2E9E">
        <w:rPr>
          <w:i/>
          <w:color w:val="002060"/>
        </w:rPr>
        <w:t xml:space="preserve"> as well as better </w:t>
      </w:r>
      <w:r w:rsidR="004E2E9E" w:rsidRPr="00D92D55">
        <w:rPr>
          <w:i/>
          <w:color w:val="002060"/>
        </w:rPr>
        <w:t>knowledge on the background environment into which the measures have been implemented.</w:t>
      </w:r>
      <w:r>
        <w:rPr>
          <w:i/>
          <w:color w:val="002060"/>
        </w:rPr>
        <w:t xml:space="preserve"> </w:t>
      </w:r>
      <w:r w:rsidR="004E2E9E">
        <w:rPr>
          <w:i/>
          <w:color w:val="002060"/>
        </w:rPr>
        <w:t>W</w:t>
      </w:r>
      <w:r w:rsidRPr="004E2E9E">
        <w:rPr>
          <w:i/>
          <w:color w:val="002060"/>
        </w:rPr>
        <w:t>ith th</w:t>
      </w:r>
      <w:r w:rsidR="004E2E9E">
        <w:rPr>
          <w:i/>
          <w:color w:val="002060"/>
        </w:rPr>
        <w:t xml:space="preserve">is </w:t>
      </w:r>
      <w:r w:rsidRPr="004E2E9E">
        <w:rPr>
          <w:i/>
          <w:color w:val="002060"/>
        </w:rPr>
        <w:t xml:space="preserve">additional information, </w:t>
      </w:r>
      <w:r w:rsidR="004E2E9E">
        <w:rPr>
          <w:i/>
          <w:color w:val="002060"/>
        </w:rPr>
        <w:t>the measure leaders and local experts are in a position to re</w:t>
      </w:r>
      <w:r w:rsidRPr="004E2E9E">
        <w:rPr>
          <w:i/>
          <w:color w:val="002060"/>
        </w:rPr>
        <w:t xml:space="preserve">-assess the </w:t>
      </w:r>
      <w:r w:rsidR="004E2E9E">
        <w:rPr>
          <w:i/>
          <w:color w:val="002060"/>
        </w:rPr>
        <w:t xml:space="preserve">initial </w:t>
      </w:r>
      <w:r w:rsidRPr="004E2E9E">
        <w:rPr>
          <w:i/>
          <w:color w:val="002060"/>
        </w:rPr>
        <w:t>pairwise comparison valuations</w:t>
      </w:r>
      <w:r w:rsidR="004E2E9E">
        <w:rPr>
          <w:i/>
          <w:color w:val="002060"/>
        </w:rPr>
        <w:t xml:space="preserve">. This could be done in a group exercise, or each expert could undertake the assessment individually, providing a number of independent results from which differences can be highlighted and discussed amongst the group to seek explanation. </w:t>
      </w:r>
    </w:p>
    <w:p w14:paraId="26EBE4A0" w14:textId="74B17D2D" w:rsidR="00F76692" w:rsidRDefault="00F76692" w:rsidP="00FE616C">
      <w:pPr>
        <w:rPr>
          <w:i/>
          <w:color w:val="002060"/>
        </w:rPr>
      </w:pPr>
    </w:p>
    <w:p w14:paraId="3CB72908" w14:textId="52EAC180" w:rsidR="00C41BD6" w:rsidRDefault="004E2E9E" w:rsidP="004E2E9E">
      <w:pPr>
        <w:rPr>
          <w:i/>
          <w:color w:val="002060"/>
        </w:rPr>
      </w:pPr>
      <w:r w:rsidRPr="004448E8">
        <w:rPr>
          <w:i/>
          <w:color w:val="002060"/>
        </w:rPr>
        <w:t>While the above will not provide certainty on the accuracy of the results, it will offer a higher level of confidence in the judgements made</w:t>
      </w:r>
      <w:r>
        <w:rPr>
          <w:i/>
          <w:color w:val="002060"/>
        </w:rPr>
        <w:t xml:space="preserve"> and offers a more robust evaluation.</w:t>
      </w:r>
      <w:r w:rsidRPr="004448E8">
        <w:rPr>
          <w:i/>
          <w:color w:val="002060"/>
        </w:rPr>
        <w:t xml:space="preserve"> It will still be important to acknowledge the results from this approach are estimates and to report the level of confidence placed on any conclusions that are drawn.  </w:t>
      </w:r>
      <w:r w:rsidR="00C41BD6">
        <w:rPr>
          <w:i/>
          <w:color w:val="002060"/>
        </w:rPr>
        <w:t xml:space="preserve">When presenting final results, it is advisable to acknowledge the subjectivity inherent in the process and to </w:t>
      </w:r>
      <w:r w:rsidR="005C191D">
        <w:rPr>
          <w:i/>
          <w:color w:val="002060"/>
        </w:rPr>
        <w:t xml:space="preserve">use the gradings to </w:t>
      </w:r>
      <w:r w:rsidR="00C41BD6">
        <w:rPr>
          <w:i/>
          <w:color w:val="002060"/>
        </w:rPr>
        <w:t xml:space="preserve">describe the relative contribution to changes in KPI value from each measure </w:t>
      </w:r>
      <w:r w:rsidR="005C191D">
        <w:rPr>
          <w:i/>
          <w:color w:val="002060"/>
        </w:rPr>
        <w:t>(</w:t>
      </w:r>
      <w:r w:rsidR="00C41BD6">
        <w:rPr>
          <w:i/>
          <w:color w:val="002060"/>
        </w:rPr>
        <w:t>low, medium</w:t>
      </w:r>
      <w:r w:rsidR="005C191D">
        <w:rPr>
          <w:i/>
          <w:color w:val="002060"/>
        </w:rPr>
        <w:t>, high</w:t>
      </w:r>
      <w:r w:rsidR="00C41BD6">
        <w:rPr>
          <w:i/>
          <w:color w:val="002060"/>
        </w:rPr>
        <w:t xml:space="preserve"> or </w:t>
      </w:r>
      <w:r w:rsidR="005C191D">
        <w:rPr>
          <w:i/>
          <w:color w:val="002060"/>
        </w:rPr>
        <w:t xml:space="preserve">very </w:t>
      </w:r>
      <w:r w:rsidR="00C41BD6">
        <w:rPr>
          <w:i/>
          <w:color w:val="002060"/>
        </w:rPr>
        <w:t>high</w:t>
      </w:r>
      <w:r w:rsidR="005C191D">
        <w:rPr>
          <w:i/>
          <w:color w:val="002060"/>
        </w:rPr>
        <w:t>)</w:t>
      </w:r>
      <w:r w:rsidR="00C41BD6">
        <w:rPr>
          <w:i/>
          <w:color w:val="002060"/>
        </w:rPr>
        <w:t xml:space="preserve"> rather than a precise % value</w:t>
      </w:r>
      <w:r w:rsidR="005C191D">
        <w:rPr>
          <w:i/>
          <w:color w:val="002060"/>
        </w:rPr>
        <w:t xml:space="preserve"> (see Table </w:t>
      </w:r>
      <w:r w:rsidR="0085750E">
        <w:rPr>
          <w:i/>
          <w:color w:val="002060"/>
        </w:rPr>
        <w:t>8</w:t>
      </w:r>
      <w:r w:rsidR="005C191D">
        <w:rPr>
          <w:i/>
          <w:color w:val="002060"/>
        </w:rPr>
        <w:t>)</w:t>
      </w:r>
      <w:r w:rsidR="00C41BD6">
        <w:rPr>
          <w:i/>
          <w:color w:val="002060"/>
        </w:rPr>
        <w:t xml:space="preserve">. </w:t>
      </w:r>
    </w:p>
    <w:p w14:paraId="7D79C816" w14:textId="77777777" w:rsidR="00C41BD6" w:rsidRDefault="00C41BD6" w:rsidP="004E2E9E">
      <w:pPr>
        <w:rPr>
          <w:i/>
          <w:color w:val="002060"/>
        </w:rPr>
      </w:pPr>
    </w:p>
    <w:p w14:paraId="0E086FF4" w14:textId="00118828" w:rsidR="004E2E9E" w:rsidRPr="002F3CE7" w:rsidRDefault="00C41BD6" w:rsidP="004E2E9E">
      <w:pPr>
        <w:rPr>
          <w:b/>
          <w:color w:val="002060"/>
        </w:rPr>
      </w:pPr>
      <w:r>
        <w:rPr>
          <w:i/>
          <w:color w:val="002060"/>
        </w:rPr>
        <w:t xml:space="preserve">  </w:t>
      </w:r>
    </w:p>
    <w:p w14:paraId="372D9DB6" w14:textId="1F681B8A" w:rsidR="0087006F" w:rsidRDefault="0021512B" w:rsidP="00FE616C">
      <w:pPr>
        <w:rPr>
          <w:b/>
          <w:color w:val="002060"/>
        </w:rPr>
      </w:pPr>
      <w:r w:rsidRPr="002F3CE7">
        <w:rPr>
          <w:b/>
          <w:color w:val="002060"/>
        </w:rPr>
        <w:t xml:space="preserve">Table </w:t>
      </w:r>
      <w:r w:rsidR="0085750E">
        <w:rPr>
          <w:b/>
          <w:color w:val="002060"/>
        </w:rPr>
        <w:t>6</w:t>
      </w:r>
      <w:r w:rsidRPr="002F3CE7">
        <w:rPr>
          <w:b/>
          <w:color w:val="002060"/>
        </w:rPr>
        <w:t xml:space="preserve">:  Example of completed table </w:t>
      </w:r>
      <w:r w:rsidR="002F3CE7" w:rsidRPr="002F3CE7">
        <w:rPr>
          <w:b/>
          <w:color w:val="002060"/>
        </w:rPr>
        <w:t xml:space="preserve">containing pairwise comparison valuations </w:t>
      </w:r>
      <w:r w:rsidRPr="002F3CE7">
        <w:rPr>
          <w:b/>
          <w:color w:val="002060"/>
        </w:rPr>
        <w:t xml:space="preserve"> </w:t>
      </w:r>
    </w:p>
    <w:tbl>
      <w:tblPr>
        <w:tblW w:w="9620" w:type="dxa"/>
        <w:tblCellMar>
          <w:left w:w="0" w:type="dxa"/>
          <w:right w:w="0" w:type="dxa"/>
        </w:tblCellMar>
        <w:tblLook w:val="0600" w:firstRow="0" w:lastRow="0" w:firstColumn="0" w:lastColumn="0" w:noHBand="1" w:noVBand="1"/>
      </w:tblPr>
      <w:tblGrid>
        <w:gridCol w:w="956"/>
        <w:gridCol w:w="2928"/>
        <w:gridCol w:w="956"/>
        <w:gridCol w:w="956"/>
        <w:gridCol w:w="956"/>
        <w:gridCol w:w="956"/>
        <w:gridCol w:w="956"/>
        <w:gridCol w:w="956"/>
      </w:tblGrid>
      <w:tr w:rsidR="002F3CE7" w:rsidRPr="002F3CE7" w14:paraId="7B4BE3B7" w14:textId="77777777" w:rsidTr="003C23E4">
        <w:trPr>
          <w:trHeight w:val="353"/>
        </w:trPr>
        <w:tc>
          <w:tcPr>
            <w:tcW w:w="956" w:type="dxa"/>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bottom"/>
            <w:hideMark/>
          </w:tcPr>
          <w:p w14:paraId="255881EA" w14:textId="77777777" w:rsidR="002F3CE7" w:rsidRPr="002F3CE7" w:rsidRDefault="002F3CE7" w:rsidP="002F3CE7">
            <w:pPr>
              <w:rPr>
                <w:i/>
                <w:color w:val="002060"/>
              </w:rPr>
            </w:pPr>
            <w:r w:rsidRPr="002F3CE7">
              <w:rPr>
                <w:b/>
                <w:bCs/>
                <w:i/>
                <w:color w:val="002060"/>
              </w:rPr>
              <w:t>KPI</w:t>
            </w:r>
          </w:p>
        </w:tc>
        <w:tc>
          <w:tcPr>
            <w:tcW w:w="8664" w:type="dxa"/>
            <w:gridSpan w:val="7"/>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bottom"/>
            <w:hideMark/>
          </w:tcPr>
          <w:p w14:paraId="4F7CA17C" w14:textId="77777777" w:rsidR="002F3CE7" w:rsidRPr="002F3CE7" w:rsidRDefault="002F3CE7" w:rsidP="002F3CE7">
            <w:pPr>
              <w:rPr>
                <w:i/>
                <w:color w:val="002060"/>
              </w:rPr>
            </w:pPr>
            <w:r w:rsidRPr="002F3CE7">
              <w:rPr>
                <w:b/>
                <w:bCs/>
                <w:i/>
                <w:color w:val="002060"/>
              </w:rPr>
              <w:t>reduction in city centre traffic</w:t>
            </w:r>
          </w:p>
        </w:tc>
      </w:tr>
      <w:tr w:rsidR="002F3CE7" w:rsidRPr="002F3CE7" w14:paraId="22466E53" w14:textId="77777777" w:rsidTr="003C23E4">
        <w:trPr>
          <w:trHeight w:val="250"/>
        </w:trPr>
        <w:tc>
          <w:tcPr>
            <w:tcW w:w="3884" w:type="dxa"/>
            <w:gridSpan w:val="2"/>
            <w:tcBorders>
              <w:top w:val="single" w:sz="8" w:space="0" w:color="000000"/>
              <w:left w:val="single" w:sz="8" w:space="0" w:color="000000"/>
              <w:bottom w:val="single" w:sz="4" w:space="0" w:color="000000"/>
              <w:right w:val="single" w:sz="8" w:space="0" w:color="000000"/>
            </w:tcBorders>
            <w:shd w:val="clear" w:color="auto" w:fill="auto"/>
            <w:tcMar>
              <w:top w:w="9" w:type="dxa"/>
              <w:left w:w="9" w:type="dxa"/>
              <w:bottom w:w="0" w:type="dxa"/>
              <w:right w:w="9" w:type="dxa"/>
            </w:tcMar>
            <w:vAlign w:val="bottom"/>
            <w:hideMark/>
          </w:tcPr>
          <w:p w14:paraId="296BE33C" w14:textId="77777777" w:rsidR="002F3CE7" w:rsidRPr="002F3CE7" w:rsidRDefault="002F3CE7" w:rsidP="002F3CE7">
            <w:pPr>
              <w:rPr>
                <w:i/>
                <w:color w:val="002060"/>
              </w:rPr>
            </w:pPr>
            <w:r w:rsidRPr="002F3CE7">
              <w:rPr>
                <w:i/>
                <w:iCs/>
                <w:color w:val="002060"/>
              </w:rPr>
              <w:t>Column (j)</w:t>
            </w:r>
          </w:p>
        </w:tc>
        <w:tc>
          <w:tcPr>
            <w:tcW w:w="956" w:type="dxa"/>
            <w:tcBorders>
              <w:top w:val="single" w:sz="8"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AF94319" w14:textId="77777777" w:rsidR="002F3CE7" w:rsidRPr="002F3CE7" w:rsidRDefault="002F3CE7" w:rsidP="002F3CE7">
            <w:pPr>
              <w:rPr>
                <w:i/>
                <w:color w:val="002060"/>
              </w:rPr>
            </w:pPr>
            <w:r w:rsidRPr="002F3CE7">
              <w:rPr>
                <w:i/>
                <w:color w:val="002060"/>
              </w:rPr>
              <w:t>1</w:t>
            </w:r>
          </w:p>
        </w:tc>
        <w:tc>
          <w:tcPr>
            <w:tcW w:w="956"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78FE8CE" w14:textId="77777777" w:rsidR="002F3CE7" w:rsidRPr="002F3CE7" w:rsidRDefault="002F3CE7" w:rsidP="002F3CE7">
            <w:pPr>
              <w:rPr>
                <w:i/>
                <w:color w:val="002060"/>
              </w:rPr>
            </w:pPr>
            <w:r w:rsidRPr="002F3CE7">
              <w:rPr>
                <w:i/>
                <w:color w:val="002060"/>
              </w:rPr>
              <w:t>2</w:t>
            </w:r>
          </w:p>
        </w:tc>
        <w:tc>
          <w:tcPr>
            <w:tcW w:w="956"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E2EEB2" w14:textId="77777777" w:rsidR="002F3CE7" w:rsidRPr="002F3CE7" w:rsidRDefault="002F3CE7" w:rsidP="002F3CE7">
            <w:pPr>
              <w:rPr>
                <w:i/>
                <w:color w:val="002060"/>
              </w:rPr>
            </w:pPr>
            <w:r w:rsidRPr="002F3CE7">
              <w:rPr>
                <w:i/>
                <w:color w:val="002060"/>
              </w:rPr>
              <w:t>3</w:t>
            </w:r>
          </w:p>
        </w:tc>
        <w:tc>
          <w:tcPr>
            <w:tcW w:w="956"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AEBDD8E" w14:textId="77777777" w:rsidR="002F3CE7" w:rsidRPr="002F3CE7" w:rsidRDefault="002F3CE7" w:rsidP="002F3CE7">
            <w:pPr>
              <w:rPr>
                <w:i/>
                <w:color w:val="002060"/>
              </w:rPr>
            </w:pPr>
            <w:r w:rsidRPr="002F3CE7">
              <w:rPr>
                <w:i/>
                <w:color w:val="002060"/>
              </w:rPr>
              <w:t>4</w:t>
            </w:r>
          </w:p>
        </w:tc>
        <w:tc>
          <w:tcPr>
            <w:tcW w:w="956"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59F87F2" w14:textId="77777777" w:rsidR="002F3CE7" w:rsidRPr="002F3CE7" w:rsidRDefault="002F3CE7" w:rsidP="002F3CE7">
            <w:pPr>
              <w:rPr>
                <w:i/>
                <w:color w:val="002060"/>
              </w:rPr>
            </w:pPr>
            <w:r w:rsidRPr="002F3CE7">
              <w:rPr>
                <w:i/>
                <w:color w:val="002060"/>
              </w:rPr>
              <w:t>5</w:t>
            </w:r>
          </w:p>
        </w:tc>
        <w:tc>
          <w:tcPr>
            <w:tcW w:w="956" w:type="dxa"/>
            <w:tcBorders>
              <w:top w:val="single" w:sz="8" w:space="0" w:color="000000"/>
              <w:left w:val="single" w:sz="4" w:space="0" w:color="000000"/>
              <w:bottom w:val="single" w:sz="4" w:space="0" w:color="000000"/>
              <w:right w:val="single" w:sz="8" w:space="0" w:color="000000"/>
            </w:tcBorders>
            <w:shd w:val="clear" w:color="auto" w:fill="auto"/>
            <w:tcMar>
              <w:top w:w="9" w:type="dxa"/>
              <w:left w:w="9" w:type="dxa"/>
              <w:bottom w:w="0" w:type="dxa"/>
              <w:right w:w="9" w:type="dxa"/>
            </w:tcMar>
            <w:vAlign w:val="bottom"/>
            <w:hideMark/>
          </w:tcPr>
          <w:p w14:paraId="042F3665" w14:textId="77777777" w:rsidR="002F3CE7" w:rsidRPr="002F3CE7" w:rsidRDefault="002F3CE7" w:rsidP="002F3CE7">
            <w:pPr>
              <w:rPr>
                <w:i/>
                <w:color w:val="002060"/>
              </w:rPr>
            </w:pPr>
            <w:r w:rsidRPr="002F3CE7">
              <w:rPr>
                <w:i/>
                <w:color w:val="002060"/>
              </w:rPr>
              <w:t>6</w:t>
            </w:r>
          </w:p>
        </w:tc>
      </w:tr>
      <w:tr w:rsidR="002F3CE7" w:rsidRPr="002F3CE7" w14:paraId="564184DE" w14:textId="77777777" w:rsidTr="003C23E4">
        <w:trPr>
          <w:trHeight w:val="2302"/>
        </w:trPr>
        <w:tc>
          <w:tcPr>
            <w:tcW w:w="956" w:type="dxa"/>
            <w:tcBorders>
              <w:top w:val="single" w:sz="4" w:space="0" w:color="000000"/>
              <w:left w:val="single" w:sz="8" w:space="0" w:color="000000"/>
              <w:bottom w:val="single" w:sz="8" w:space="0" w:color="000000"/>
              <w:right w:val="single" w:sz="4" w:space="0" w:color="000000"/>
            </w:tcBorders>
            <w:shd w:val="clear" w:color="auto" w:fill="auto"/>
            <w:tcMar>
              <w:top w:w="9" w:type="dxa"/>
              <w:left w:w="9" w:type="dxa"/>
              <w:bottom w:w="0" w:type="dxa"/>
              <w:right w:w="9" w:type="dxa"/>
            </w:tcMar>
            <w:vAlign w:val="bottom"/>
            <w:hideMark/>
          </w:tcPr>
          <w:p w14:paraId="03033162" w14:textId="77777777" w:rsidR="002F3CE7" w:rsidRPr="002F3CE7" w:rsidRDefault="002F3CE7" w:rsidP="002F3CE7">
            <w:pPr>
              <w:rPr>
                <w:i/>
                <w:color w:val="002060"/>
              </w:rPr>
            </w:pPr>
            <w:r w:rsidRPr="002F3CE7">
              <w:rPr>
                <w:i/>
                <w:iCs/>
                <w:color w:val="002060"/>
              </w:rPr>
              <w:t>Row (i)</w:t>
            </w:r>
          </w:p>
        </w:tc>
        <w:tc>
          <w:tcPr>
            <w:tcW w:w="2928" w:type="dxa"/>
            <w:tcBorders>
              <w:top w:val="single" w:sz="4" w:space="0" w:color="000000"/>
              <w:left w:val="single" w:sz="4"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C8A3E2A" w14:textId="77777777" w:rsidR="002F3CE7" w:rsidRPr="002F3CE7" w:rsidRDefault="002F3CE7" w:rsidP="002F3CE7">
            <w:pPr>
              <w:rPr>
                <w:i/>
                <w:color w:val="002060"/>
              </w:rPr>
            </w:pPr>
            <w:r w:rsidRPr="002F3CE7">
              <w:rPr>
                <w:i/>
                <w:color w:val="002060"/>
              </w:rPr>
              <w:t>Measure Name</w:t>
            </w:r>
          </w:p>
        </w:tc>
        <w:tc>
          <w:tcPr>
            <w:tcW w:w="956" w:type="dxa"/>
            <w:tcBorders>
              <w:top w:val="single" w:sz="4" w:space="0" w:color="000000"/>
              <w:left w:val="single" w:sz="8" w:space="0" w:color="000000"/>
              <w:bottom w:val="single" w:sz="8" w:space="0" w:color="000000"/>
              <w:right w:val="single" w:sz="4" w:space="0" w:color="000000"/>
            </w:tcBorders>
            <w:shd w:val="clear" w:color="auto" w:fill="auto"/>
            <w:tcMar>
              <w:top w:w="9" w:type="dxa"/>
              <w:left w:w="9" w:type="dxa"/>
              <w:bottom w:w="0" w:type="dxa"/>
              <w:right w:w="9" w:type="dxa"/>
            </w:tcMar>
            <w:textDirection w:val="btLr"/>
            <w:vAlign w:val="center"/>
            <w:hideMark/>
          </w:tcPr>
          <w:p w14:paraId="4E7FA8A0" w14:textId="77777777" w:rsidR="002F3CE7" w:rsidRPr="002F3CE7" w:rsidRDefault="002F3CE7" w:rsidP="002F3CE7">
            <w:pPr>
              <w:rPr>
                <w:i/>
                <w:color w:val="002060"/>
              </w:rPr>
            </w:pPr>
            <w:r w:rsidRPr="002F3CE7">
              <w:rPr>
                <w:i/>
                <w:color w:val="002060"/>
              </w:rPr>
              <w:t>Redesigning Collective Travel</w:t>
            </w:r>
          </w:p>
        </w:tc>
        <w:tc>
          <w:tcPr>
            <w:tcW w:w="956"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textDirection w:val="btLr"/>
            <w:vAlign w:val="center"/>
            <w:hideMark/>
          </w:tcPr>
          <w:p w14:paraId="1274EB07" w14:textId="77777777" w:rsidR="002F3CE7" w:rsidRPr="002F3CE7" w:rsidRDefault="002F3CE7" w:rsidP="002F3CE7">
            <w:pPr>
              <w:rPr>
                <w:i/>
                <w:color w:val="002060"/>
              </w:rPr>
            </w:pPr>
            <w:r w:rsidRPr="002F3CE7">
              <w:rPr>
                <w:i/>
                <w:color w:val="002060"/>
              </w:rPr>
              <w:t>Developing Travel Plans</w:t>
            </w:r>
          </w:p>
        </w:tc>
        <w:tc>
          <w:tcPr>
            <w:tcW w:w="956"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textDirection w:val="btLr"/>
            <w:vAlign w:val="center"/>
            <w:hideMark/>
          </w:tcPr>
          <w:p w14:paraId="2A692A69" w14:textId="77777777" w:rsidR="002F3CE7" w:rsidRPr="002F3CE7" w:rsidRDefault="002F3CE7" w:rsidP="002F3CE7">
            <w:pPr>
              <w:rPr>
                <w:i/>
                <w:color w:val="002060"/>
              </w:rPr>
            </w:pPr>
            <w:r w:rsidRPr="002F3CE7">
              <w:rPr>
                <w:i/>
                <w:color w:val="002060"/>
              </w:rPr>
              <w:t>Supporting Sound Planning and Decisionmaking</w:t>
            </w:r>
          </w:p>
        </w:tc>
        <w:tc>
          <w:tcPr>
            <w:tcW w:w="956"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textDirection w:val="btLr"/>
            <w:vAlign w:val="center"/>
            <w:hideMark/>
          </w:tcPr>
          <w:p w14:paraId="1F8CC0D5" w14:textId="77777777" w:rsidR="002F3CE7" w:rsidRPr="002F3CE7" w:rsidRDefault="002F3CE7" w:rsidP="002F3CE7">
            <w:pPr>
              <w:rPr>
                <w:i/>
                <w:color w:val="002060"/>
              </w:rPr>
            </w:pPr>
            <w:r w:rsidRPr="002F3CE7">
              <w:rPr>
                <w:i/>
                <w:color w:val="002060"/>
              </w:rPr>
              <w:t>Developing Dynamic Traffic Management</w:t>
            </w:r>
          </w:p>
        </w:tc>
        <w:tc>
          <w:tcPr>
            <w:tcW w:w="956"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textDirection w:val="btLr"/>
            <w:vAlign w:val="center"/>
            <w:hideMark/>
          </w:tcPr>
          <w:p w14:paraId="75CE782D" w14:textId="77777777" w:rsidR="002F3CE7" w:rsidRPr="002F3CE7" w:rsidRDefault="002F3CE7" w:rsidP="002F3CE7">
            <w:pPr>
              <w:rPr>
                <w:i/>
                <w:color w:val="002060"/>
              </w:rPr>
            </w:pPr>
            <w:r w:rsidRPr="002F3CE7">
              <w:rPr>
                <w:i/>
                <w:color w:val="002060"/>
              </w:rPr>
              <w:t>Enhancing Demand Management</w:t>
            </w:r>
          </w:p>
        </w:tc>
        <w:tc>
          <w:tcPr>
            <w:tcW w:w="956" w:type="dxa"/>
            <w:tcBorders>
              <w:top w:val="single" w:sz="4" w:space="0" w:color="000000"/>
              <w:left w:val="single" w:sz="4" w:space="0" w:color="000000"/>
              <w:bottom w:val="single" w:sz="8" w:space="0" w:color="000000"/>
              <w:right w:val="single" w:sz="8" w:space="0" w:color="000000"/>
            </w:tcBorders>
            <w:shd w:val="clear" w:color="auto" w:fill="auto"/>
            <w:tcMar>
              <w:top w:w="9" w:type="dxa"/>
              <w:left w:w="9" w:type="dxa"/>
              <w:bottom w:w="0" w:type="dxa"/>
              <w:right w:w="9" w:type="dxa"/>
            </w:tcMar>
            <w:textDirection w:val="btLr"/>
            <w:vAlign w:val="center"/>
            <w:hideMark/>
          </w:tcPr>
          <w:p w14:paraId="0CE55D86" w14:textId="77777777" w:rsidR="002F3CE7" w:rsidRPr="002F3CE7" w:rsidRDefault="002F3CE7" w:rsidP="002F3CE7">
            <w:pPr>
              <w:rPr>
                <w:i/>
                <w:color w:val="002060"/>
              </w:rPr>
            </w:pPr>
            <w:r w:rsidRPr="002F3CE7">
              <w:rPr>
                <w:i/>
                <w:color w:val="002060"/>
              </w:rPr>
              <w:t>External Trends/Factors</w:t>
            </w:r>
          </w:p>
        </w:tc>
      </w:tr>
      <w:tr w:rsidR="002F3CE7" w:rsidRPr="002F3CE7" w14:paraId="443AF73D" w14:textId="77777777" w:rsidTr="003C23E4">
        <w:trPr>
          <w:trHeight w:val="658"/>
        </w:trPr>
        <w:tc>
          <w:tcPr>
            <w:tcW w:w="956" w:type="dxa"/>
            <w:tcBorders>
              <w:top w:val="single" w:sz="8"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A93126A" w14:textId="77777777" w:rsidR="002F3CE7" w:rsidRPr="002F3CE7" w:rsidRDefault="002F3CE7" w:rsidP="002F3CE7">
            <w:pPr>
              <w:rPr>
                <w:i/>
                <w:color w:val="002060"/>
              </w:rPr>
            </w:pPr>
            <w:r w:rsidRPr="002F3CE7">
              <w:rPr>
                <w:i/>
                <w:color w:val="002060"/>
              </w:rPr>
              <w:t>1</w:t>
            </w:r>
          </w:p>
        </w:tc>
        <w:tc>
          <w:tcPr>
            <w:tcW w:w="2928" w:type="dxa"/>
            <w:tcBorders>
              <w:top w:val="single" w:sz="8" w:space="0" w:color="000000"/>
              <w:left w:val="single" w:sz="4"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67363736" w14:textId="77777777" w:rsidR="002F3CE7" w:rsidRPr="002F3CE7" w:rsidRDefault="002F3CE7" w:rsidP="002F3CE7">
            <w:pPr>
              <w:rPr>
                <w:i/>
                <w:color w:val="002060"/>
              </w:rPr>
            </w:pPr>
            <w:r w:rsidRPr="002F3CE7">
              <w:rPr>
                <w:i/>
                <w:color w:val="002060"/>
              </w:rPr>
              <w:t>Redesigning Collective Travel</w:t>
            </w:r>
          </w:p>
        </w:tc>
        <w:tc>
          <w:tcPr>
            <w:tcW w:w="956" w:type="dxa"/>
            <w:tcBorders>
              <w:top w:val="single" w:sz="8" w:space="0" w:color="000000"/>
              <w:left w:val="single" w:sz="8" w:space="0" w:color="000000"/>
              <w:bottom w:val="single" w:sz="4" w:space="0" w:color="000000"/>
              <w:right w:val="single" w:sz="4" w:space="0" w:color="000000"/>
            </w:tcBorders>
            <w:shd w:val="clear" w:color="auto" w:fill="808080"/>
            <w:tcMar>
              <w:top w:w="9" w:type="dxa"/>
              <w:left w:w="9" w:type="dxa"/>
              <w:bottom w:w="0" w:type="dxa"/>
              <w:right w:w="9" w:type="dxa"/>
            </w:tcMar>
            <w:vAlign w:val="center"/>
            <w:hideMark/>
          </w:tcPr>
          <w:p w14:paraId="25F0F021" w14:textId="77777777" w:rsidR="002F3CE7" w:rsidRPr="002F3CE7" w:rsidRDefault="002F3CE7" w:rsidP="002F3CE7">
            <w:pPr>
              <w:rPr>
                <w:i/>
                <w:color w:val="002060"/>
              </w:rPr>
            </w:pPr>
            <w:r w:rsidRPr="002F3CE7">
              <w:rPr>
                <w:i/>
                <w:color w:val="002060"/>
              </w:rPr>
              <w:t>1.00</w:t>
            </w:r>
          </w:p>
        </w:tc>
        <w:tc>
          <w:tcPr>
            <w:tcW w:w="956" w:type="dxa"/>
            <w:tcBorders>
              <w:top w:val="single" w:sz="8"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2738EFD7" w14:textId="77777777" w:rsidR="002F3CE7" w:rsidRPr="002F3CE7" w:rsidRDefault="002F3CE7" w:rsidP="002F3CE7">
            <w:pPr>
              <w:rPr>
                <w:i/>
                <w:color w:val="002060"/>
              </w:rPr>
            </w:pPr>
            <w:r w:rsidRPr="002F3CE7">
              <w:rPr>
                <w:i/>
                <w:color w:val="002060"/>
              </w:rPr>
              <w:t>0.33</w:t>
            </w:r>
          </w:p>
        </w:tc>
        <w:tc>
          <w:tcPr>
            <w:tcW w:w="956" w:type="dxa"/>
            <w:tcBorders>
              <w:top w:val="single" w:sz="8"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4E55DA61" w14:textId="77777777" w:rsidR="002F3CE7" w:rsidRPr="002F3CE7" w:rsidRDefault="002F3CE7" w:rsidP="002F3CE7">
            <w:pPr>
              <w:rPr>
                <w:i/>
                <w:color w:val="002060"/>
              </w:rPr>
            </w:pPr>
            <w:r w:rsidRPr="002F3CE7">
              <w:rPr>
                <w:i/>
                <w:color w:val="002060"/>
              </w:rPr>
              <w:t>1.00</w:t>
            </w:r>
          </w:p>
        </w:tc>
        <w:tc>
          <w:tcPr>
            <w:tcW w:w="956" w:type="dxa"/>
            <w:tcBorders>
              <w:top w:val="single" w:sz="8"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4EA79BD2" w14:textId="77777777" w:rsidR="002F3CE7" w:rsidRPr="002F3CE7" w:rsidRDefault="002F3CE7" w:rsidP="002F3CE7">
            <w:pPr>
              <w:rPr>
                <w:i/>
                <w:color w:val="002060"/>
              </w:rPr>
            </w:pPr>
            <w:r w:rsidRPr="002F3CE7">
              <w:rPr>
                <w:i/>
                <w:color w:val="002060"/>
              </w:rPr>
              <w:t>1.00</w:t>
            </w:r>
          </w:p>
        </w:tc>
        <w:tc>
          <w:tcPr>
            <w:tcW w:w="956" w:type="dxa"/>
            <w:tcBorders>
              <w:top w:val="single" w:sz="8"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0F11A64D" w14:textId="77777777" w:rsidR="002F3CE7" w:rsidRPr="002F3CE7" w:rsidRDefault="002F3CE7" w:rsidP="002F3CE7">
            <w:pPr>
              <w:rPr>
                <w:i/>
                <w:color w:val="002060"/>
              </w:rPr>
            </w:pPr>
            <w:r w:rsidRPr="002F3CE7">
              <w:rPr>
                <w:i/>
                <w:color w:val="002060"/>
              </w:rPr>
              <w:t>0.20</w:t>
            </w:r>
          </w:p>
        </w:tc>
        <w:tc>
          <w:tcPr>
            <w:tcW w:w="956" w:type="dxa"/>
            <w:tcBorders>
              <w:top w:val="single" w:sz="8"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332597BD" w14:textId="77777777" w:rsidR="002F3CE7" w:rsidRPr="002F3CE7" w:rsidRDefault="002F3CE7" w:rsidP="002F3CE7">
            <w:pPr>
              <w:rPr>
                <w:i/>
                <w:color w:val="002060"/>
              </w:rPr>
            </w:pPr>
            <w:r w:rsidRPr="002F3CE7">
              <w:rPr>
                <w:i/>
                <w:color w:val="002060"/>
              </w:rPr>
              <w:t>0.20</w:t>
            </w:r>
          </w:p>
        </w:tc>
      </w:tr>
      <w:tr w:rsidR="002F3CE7" w:rsidRPr="002F3CE7" w14:paraId="1894AB04" w14:textId="77777777" w:rsidTr="003C23E4">
        <w:trPr>
          <w:trHeight w:val="621"/>
        </w:trPr>
        <w:tc>
          <w:tcPr>
            <w:tcW w:w="95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52BC73D" w14:textId="77777777" w:rsidR="002F3CE7" w:rsidRPr="002F3CE7" w:rsidRDefault="002F3CE7" w:rsidP="002F3CE7">
            <w:pPr>
              <w:rPr>
                <w:i/>
                <w:color w:val="002060"/>
              </w:rPr>
            </w:pPr>
            <w:r w:rsidRPr="002F3CE7">
              <w:rPr>
                <w:i/>
                <w:color w:val="002060"/>
              </w:rPr>
              <w:t>2</w:t>
            </w:r>
          </w:p>
        </w:tc>
        <w:tc>
          <w:tcPr>
            <w:tcW w:w="2928" w:type="dxa"/>
            <w:tcBorders>
              <w:top w:val="single" w:sz="4" w:space="0" w:color="000000"/>
              <w:left w:val="single" w:sz="4"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1B872E1A" w14:textId="77777777" w:rsidR="002F3CE7" w:rsidRPr="002F3CE7" w:rsidRDefault="002F3CE7" w:rsidP="002F3CE7">
            <w:pPr>
              <w:rPr>
                <w:i/>
                <w:color w:val="002060"/>
              </w:rPr>
            </w:pPr>
            <w:r w:rsidRPr="002F3CE7">
              <w:rPr>
                <w:i/>
                <w:color w:val="002060"/>
              </w:rPr>
              <w:t>Developing Travel Plans</w:t>
            </w:r>
          </w:p>
        </w:tc>
        <w:tc>
          <w:tcPr>
            <w:tcW w:w="95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0651A" w14:textId="77777777" w:rsidR="002F3CE7" w:rsidRPr="002F3CE7" w:rsidRDefault="002F3CE7" w:rsidP="002F3CE7">
            <w:pPr>
              <w:rPr>
                <w:i/>
                <w:color w:val="002060"/>
              </w:rPr>
            </w:pPr>
            <w:r w:rsidRPr="002F3CE7">
              <w:rPr>
                <w:i/>
                <w:color w:val="002060"/>
              </w:rPr>
              <w:t>3.00</w:t>
            </w:r>
          </w:p>
        </w:tc>
        <w:tc>
          <w:tcPr>
            <w:tcW w:w="956" w:type="dxa"/>
            <w:tcBorders>
              <w:top w:val="single" w:sz="4" w:space="0" w:color="000000"/>
              <w:left w:val="single" w:sz="4" w:space="0" w:color="000000"/>
              <w:bottom w:val="single" w:sz="4" w:space="0" w:color="000000"/>
              <w:right w:val="single" w:sz="4" w:space="0" w:color="000000"/>
            </w:tcBorders>
            <w:shd w:val="clear" w:color="auto" w:fill="808080"/>
            <w:tcMar>
              <w:top w:w="9" w:type="dxa"/>
              <w:left w:w="9" w:type="dxa"/>
              <w:bottom w:w="0" w:type="dxa"/>
              <w:right w:w="9" w:type="dxa"/>
            </w:tcMar>
            <w:vAlign w:val="center"/>
            <w:hideMark/>
          </w:tcPr>
          <w:p w14:paraId="26335F21" w14:textId="77777777" w:rsidR="002F3CE7" w:rsidRPr="002F3CE7" w:rsidRDefault="002F3CE7" w:rsidP="002F3CE7">
            <w:pPr>
              <w:rPr>
                <w:i/>
                <w:color w:val="002060"/>
              </w:rPr>
            </w:pPr>
            <w:r w:rsidRPr="002F3CE7">
              <w:rPr>
                <w:i/>
                <w:color w:val="00206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1BD52FCF" w14:textId="77777777" w:rsidR="002F3CE7" w:rsidRPr="002F3CE7" w:rsidRDefault="002F3CE7" w:rsidP="002F3CE7">
            <w:pPr>
              <w:rPr>
                <w:i/>
                <w:color w:val="002060"/>
              </w:rPr>
            </w:pPr>
            <w:r w:rsidRPr="002F3CE7">
              <w:rPr>
                <w:i/>
                <w:color w:val="002060"/>
              </w:rPr>
              <w:t>3.00</w:t>
            </w:r>
          </w:p>
        </w:tc>
        <w:tc>
          <w:tcPr>
            <w:tcW w:w="956" w:type="dxa"/>
            <w:tcBorders>
              <w:top w:val="single" w:sz="4"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5C97E23A" w14:textId="77777777" w:rsidR="002F3CE7" w:rsidRPr="002F3CE7" w:rsidRDefault="002F3CE7" w:rsidP="002F3CE7">
            <w:pPr>
              <w:rPr>
                <w:i/>
                <w:color w:val="002060"/>
              </w:rPr>
            </w:pPr>
            <w:r w:rsidRPr="002F3CE7">
              <w:rPr>
                <w:i/>
                <w:color w:val="002060"/>
              </w:rPr>
              <w:t>3.00</w:t>
            </w:r>
          </w:p>
        </w:tc>
        <w:tc>
          <w:tcPr>
            <w:tcW w:w="956" w:type="dxa"/>
            <w:tcBorders>
              <w:top w:val="single" w:sz="4"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49CEB698" w14:textId="77777777" w:rsidR="002F3CE7" w:rsidRPr="002F3CE7" w:rsidRDefault="002F3CE7" w:rsidP="002F3CE7">
            <w:pPr>
              <w:rPr>
                <w:i/>
                <w:color w:val="002060"/>
              </w:rPr>
            </w:pPr>
            <w:r w:rsidRPr="002F3CE7">
              <w:rPr>
                <w:i/>
                <w:color w:val="00206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1A3FB1CC" w14:textId="77777777" w:rsidR="002F3CE7" w:rsidRPr="002F3CE7" w:rsidRDefault="002F3CE7" w:rsidP="002F3CE7">
            <w:pPr>
              <w:rPr>
                <w:i/>
                <w:color w:val="002060"/>
              </w:rPr>
            </w:pPr>
            <w:r w:rsidRPr="002F3CE7">
              <w:rPr>
                <w:i/>
                <w:color w:val="002060"/>
              </w:rPr>
              <w:t>0.33</w:t>
            </w:r>
          </w:p>
        </w:tc>
      </w:tr>
      <w:tr w:rsidR="002F3CE7" w:rsidRPr="002F3CE7" w14:paraId="392C3246" w14:textId="77777777" w:rsidTr="003C23E4">
        <w:trPr>
          <w:trHeight w:val="606"/>
        </w:trPr>
        <w:tc>
          <w:tcPr>
            <w:tcW w:w="95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A716C02" w14:textId="77777777" w:rsidR="002F3CE7" w:rsidRPr="002F3CE7" w:rsidRDefault="002F3CE7" w:rsidP="002F3CE7">
            <w:pPr>
              <w:rPr>
                <w:i/>
                <w:color w:val="002060"/>
              </w:rPr>
            </w:pPr>
            <w:r w:rsidRPr="002F3CE7">
              <w:rPr>
                <w:i/>
                <w:color w:val="002060"/>
              </w:rPr>
              <w:t>3</w:t>
            </w:r>
          </w:p>
        </w:tc>
        <w:tc>
          <w:tcPr>
            <w:tcW w:w="2928" w:type="dxa"/>
            <w:tcBorders>
              <w:top w:val="single" w:sz="4" w:space="0" w:color="000000"/>
              <w:left w:val="single" w:sz="4"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0C493B02" w14:textId="77777777" w:rsidR="002F3CE7" w:rsidRPr="002F3CE7" w:rsidRDefault="002F3CE7" w:rsidP="002F3CE7">
            <w:pPr>
              <w:rPr>
                <w:i/>
                <w:color w:val="002060"/>
              </w:rPr>
            </w:pPr>
            <w:r w:rsidRPr="002F3CE7">
              <w:rPr>
                <w:i/>
                <w:color w:val="002060"/>
              </w:rPr>
              <w:t>Supporting Sound Planning and Decision making</w:t>
            </w:r>
          </w:p>
        </w:tc>
        <w:tc>
          <w:tcPr>
            <w:tcW w:w="95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696AA1" w14:textId="77777777" w:rsidR="002F3CE7" w:rsidRPr="002F3CE7" w:rsidRDefault="002F3CE7" w:rsidP="002F3CE7">
            <w:pPr>
              <w:rPr>
                <w:i/>
                <w:color w:val="002060"/>
              </w:rPr>
            </w:pPr>
            <w:r w:rsidRPr="002F3CE7">
              <w:rPr>
                <w:i/>
                <w:color w:val="00206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2C9774" w14:textId="77777777" w:rsidR="002F3CE7" w:rsidRPr="002F3CE7" w:rsidRDefault="002F3CE7" w:rsidP="002F3CE7">
            <w:pPr>
              <w:rPr>
                <w:i/>
                <w:color w:val="002060"/>
              </w:rPr>
            </w:pPr>
            <w:r w:rsidRPr="002F3CE7">
              <w:rPr>
                <w:i/>
                <w:color w:val="002060"/>
              </w:rPr>
              <w:t>0.33</w:t>
            </w:r>
          </w:p>
        </w:tc>
        <w:tc>
          <w:tcPr>
            <w:tcW w:w="956" w:type="dxa"/>
            <w:tcBorders>
              <w:top w:val="single" w:sz="4" w:space="0" w:color="000000"/>
              <w:left w:val="single" w:sz="4" w:space="0" w:color="000000"/>
              <w:bottom w:val="single" w:sz="4" w:space="0" w:color="000000"/>
              <w:right w:val="single" w:sz="4" w:space="0" w:color="000000"/>
            </w:tcBorders>
            <w:shd w:val="clear" w:color="auto" w:fill="808080"/>
            <w:tcMar>
              <w:top w:w="9" w:type="dxa"/>
              <w:left w:w="9" w:type="dxa"/>
              <w:bottom w:w="0" w:type="dxa"/>
              <w:right w:w="9" w:type="dxa"/>
            </w:tcMar>
            <w:vAlign w:val="center"/>
            <w:hideMark/>
          </w:tcPr>
          <w:p w14:paraId="24BB0573" w14:textId="77777777" w:rsidR="002F3CE7" w:rsidRPr="002F3CE7" w:rsidRDefault="002F3CE7" w:rsidP="002F3CE7">
            <w:pPr>
              <w:rPr>
                <w:i/>
                <w:color w:val="002060"/>
              </w:rPr>
            </w:pPr>
            <w:r w:rsidRPr="002F3CE7">
              <w:rPr>
                <w:i/>
                <w:color w:val="00206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35CCCB1E" w14:textId="77777777" w:rsidR="002F3CE7" w:rsidRPr="002F3CE7" w:rsidRDefault="002F3CE7" w:rsidP="002F3CE7">
            <w:pPr>
              <w:rPr>
                <w:i/>
                <w:color w:val="002060"/>
              </w:rPr>
            </w:pPr>
            <w:r w:rsidRPr="002F3CE7">
              <w:rPr>
                <w:i/>
                <w:color w:val="002060"/>
              </w:rPr>
              <w:t>0.20</w:t>
            </w:r>
          </w:p>
        </w:tc>
        <w:tc>
          <w:tcPr>
            <w:tcW w:w="956" w:type="dxa"/>
            <w:tcBorders>
              <w:top w:val="single" w:sz="4"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0C991C89" w14:textId="77777777" w:rsidR="002F3CE7" w:rsidRPr="002F3CE7" w:rsidRDefault="002F3CE7" w:rsidP="002F3CE7">
            <w:pPr>
              <w:rPr>
                <w:i/>
                <w:color w:val="002060"/>
              </w:rPr>
            </w:pPr>
            <w:r w:rsidRPr="002F3CE7">
              <w:rPr>
                <w:i/>
                <w:color w:val="002060"/>
              </w:rPr>
              <w:t>0.20</w:t>
            </w:r>
          </w:p>
        </w:tc>
        <w:tc>
          <w:tcPr>
            <w:tcW w:w="956" w:type="dxa"/>
            <w:tcBorders>
              <w:top w:val="single" w:sz="4"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68E8770E" w14:textId="77777777" w:rsidR="002F3CE7" w:rsidRPr="002F3CE7" w:rsidRDefault="002F3CE7" w:rsidP="002F3CE7">
            <w:pPr>
              <w:rPr>
                <w:i/>
                <w:color w:val="002060"/>
              </w:rPr>
            </w:pPr>
            <w:r w:rsidRPr="002F3CE7">
              <w:rPr>
                <w:i/>
                <w:color w:val="002060"/>
              </w:rPr>
              <w:t>0.33</w:t>
            </w:r>
          </w:p>
        </w:tc>
      </w:tr>
      <w:tr w:rsidR="002F3CE7" w:rsidRPr="002F3CE7" w14:paraId="75214049" w14:textId="77777777" w:rsidTr="003C23E4">
        <w:trPr>
          <w:trHeight w:val="632"/>
        </w:trPr>
        <w:tc>
          <w:tcPr>
            <w:tcW w:w="95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F916744" w14:textId="77777777" w:rsidR="002F3CE7" w:rsidRPr="002F3CE7" w:rsidRDefault="002F3CE7" w:rsidP="002F3CE7">
            <w:pPr>
              <w:rPr>
                <w:i/>
                <w:color w:val="002060"/>
              </w:rPr>
            </w:pPr>
            <w:r w:rsidRPr="002F3CE7">
              <w:rPr>
                <w:i/>
                <w:color w:val="002060"/>
              </w:rPr>
              <w:t>4</w:t>
            </w:r>
          </w:p>
        </w:tc>
        <w:tc>
          <w:tcPr>
            <w:tcW w:w="2928" w:type="dxa"/>
            <w:tcBorders>
              <w:top w:val="single" w:sz="4" w:space="0" w:color="000000"/>
              <w:left w:val="single" w:sz="4"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3833929D" w14:textId="77777777" w:rsidR="002F3CE7" w:rsidRPr="002F3CE7" w:rsidRDefault="002F3CE7" w:rsidP="002F3CE7">
            <w:pPr>
              <w:rPr>
                <w:i/>
                <w:color w:val="002060"/>
              </w:rPr>
            </w:pPr>
            <w:r w:rsidRPr="002F3CE7">
              <w:rPr>
                <w:i/>
                <w:color w:val="002060"/>
              </w:rPr>
              <w:t>Developing Dynamic Traffic Management</w:t>
            </w:r>
          </w:p>
        </w:tc>
        <w:tc>
          <w:tcPr>
            <w:tcW w:w="95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8C7511" w14:textId="77777777" w:rsidR="002F3CE7" w:rsidRPr="002F3CE7" w:rsidRDefault="002F3CE7" w:rsidP="002F3CE7">
            <w:pPr>
              <w:rPr>
                <w:i/>
                <w:color w:val="002060"/>
              </w:rPr>
            </w:pPr>
            <w:r w:rsidRPr="002F3CE7">
              <w:rPr>
                <w:i/>
                <w:color w:val="00206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3D376" w14:textId="77777777" w:rsidR="002F3CE7" w:rsidRPr="002F3CE7" w:rsidRDefault="002F3CE7" w:rsidP="002F3CE7">
            <w:pPr>
              <w:rPr>
                <w:i/>
                <w:color w:val="002060"/>
              </w:rPr>
            </w:pPr>
            <w:r w:rsidRPr="002F3CE7">
              <w:rPr>
                <w:i/>
                <w:color w:val="002060"/>
              </w:rPr>
              <w:t>0.33</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8417E0" w14:textId="77777777" w:rsidR="002F3CE7" w:rsidRPr="002F3CE7" w:rsidRDefault="002F3CE7" w:rsidP="002F3CE7">
            <w:pPr>
              <w:rPr>
                <w:i/>
                <w:color w:val="002060"/>
              </w:rPr>
            </w:pPr>
            <w:r w:rsidRPr="002F3CE7">
              <w:rPr>
                <w:i/>
                <w:color w:val="002060"/>
              </w:rPr>
              <w:t>5.00</w:t>
            </w:r>
          </w:p>
        </w:tc>
        <w:tc>
          <w:tcPr>
            <w:tcW w:w="956" w:type="dxa"/>
            <w:tcBorders>
              <w:top w:val="single" w:sz="4" w:space="0" w:color="000000"/>
              <w:left w:val="single" w:sz="4" w:space="0" w:color="000000"/>
              <w:bottom w:val="single" w:sz="4" w:space="0" w:color="000000"/>
              <w:right w:val="single" w:sz="4" w:space="0" w:color="000000"/>
            </w:tcBorders>
            <w:shd w:val="clear" w:color="auto" w:fill="808080"/>
            <w:tcMar>
              <w:top w:w="9" w:type="dxa"/>
              <w:left w:w="9" w:type="dxa"/>
              <w:bottom w:w="0" w:type="dxa"/>
              <w:right w:w="9" w:type="dxa"/>
            </w:tcMar>
            <w:vAlign w:val="center"/>
            <w:hideMark/>
          </w:tcPr>
          <w:p w14:paraId="4494ED8D" w14:textId="77777777" w:rsidR="002F3CE7" w:rsidRPr="002F3CE7" w:rsidRDefault="002F3CE7" w:rsidP="002F3CE7">
            <w:pPr>
              <w:rPr>
                <w:i/>
                <w:color w:val="002060"/>
              </w:rPr>
            </w:pPr>
            <w:r w:rsidRPr="002F3CE7">
              <w:rPr>
                <w:i/>
                <w:color w:val="00206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206A254C" w14:textId="77777777" w:rsidR="002F3CE7" w:rsidRPr="002F3CE7" w:rsidRDefault="002F3CE7" w:rsidP="002F3CE7">
            <w:pPr>
              <w:rPr>
                <w:i/>
                <w:color w:val="002060"/>
              </w:rPr>
            </w:pPr>
            <w:r w:rsidRPr="002F3CE7">
              <w:rPr>
                <w:i/>
                <w:color w:val="002060"/>
              </w:rPr>
              <w:t>0.20</w:t>
            </w:r>
          </w:p>
        </w:tc>
        <w:tc>
          <w:tcPr>
            <w:tcW w:w="956" w:type="dxa"/>
            <w:tcBorders>
              <w:top w:val="single" w:sz="4"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23259DBE" w14:textId="77777777" w:rsidR="002F3CE7" w:rsidRPr="002F3CE7" w:rsidRDefault="002F3CE7" w:rsidP="002F3CE7">
            <w:pPr>
              <w:rPr>
                <w:i/>
                <w:color w:val="002060"/>
              </w:rPr>
            </w:pPr>
            <w:r w:rsidRPr="002F3CE7">
              <w:rPr>
                <w:i/>
                <w:color w:val="002060"/>
              </w:rPr>
              <w:t>0.33</w:t>
            </w:r>
          </w:p>
        </w:tc>
      </w:tr>
      <w:tr w:rsidR="002F3CE7" w:rsidRPr="002F3CE7" w14:paraId="455BD27B" w14:textId="77777777" w:rsidTr="003C23E4">
        <w:trPr>
          <w:trHeight w:val="690"/>
        </w:trPr>
        <w:tc>
          <w:tcPr>
            <w:tcW w:w="95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AC2E8D" w14:textId="77777777" w:rsidR="002F3CE7" w:rsidRPr="002F3CE7" w:rsidRDefault="002F3CE7" w:rsidP="002F3CE7">
            <w:pPr>
              <w:rPr>
                <w:i/>
                <w:color w:val="002060"/>
              </w:rPr>
            </w:pPr>
            <w:r w:rsidRPr="002F3CE7">
              <w:rPr>
                <w:i/>
                <w:color w:val="002060"/>
              </w:rPr>
              <w:t>5</w:t>
            </w:r>
          </w:p>
        </w:tc>
        <w:tc>
          <w:tcPr>
            <w:tcW w:w="2928" w:type="dxa"/>
            <w:tcBorders>
              <w:top w:val="single" w:sz="4" w:space="0" w:color="000000"/>
              <w:left w:val="single" w:sz="4" w:space="0" w:color="000000"/>
              <w:bottom w:val="single" w:sz="4" w:space="0" w:color="000000"/>
              <w:right w:val="single" w:sz="8" w:space="0" w:color="000000"/>
            </w:tcBorders>
            <w:shd w:val="clear" w:color="auto" w:fill="auto"/>
            <w:tcMar>
              <w:top w:w="9" w:type="dxa"/>
              <w:left w:w="9" w:type="dxa"/>
              <w:bottom w:w="0" w:type="dxa"/>
              <w:right w:w="9" w:type="dxa"/>
            </w:tcMar>
            <w:vAlign w:val="center"/>
            <w:hideMark/>
          </w:tcPr>
          <w:p w14:paraId="43829EC7" w14:textId="77777777" w:rsidR="002F3CE7" w:rsidRPr="002F3CE7" w:rsidRDefault="002F3CE7" w:rsidP="002F3CE7">
            <w:pPr>
              <w:rPr>
                <w:i/>
                <w:color w:val="002060"/>
              </w:rPr>
            </w:pPr>
            <w:r w:rsidRPr="002F3CE7">
              <w:rPr>
                <w:i/>
                <w:color w:val="002060"/>
              </w:rPr>
              <w:t>Enhancing Demand Management</w:t>
            </w:r>
          </w:p>
        </w:tc>
        <w:tc>
          <w:tcPr>
            <w:tcW w:w="95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2240B" w14:textId="77777777" w:rsidR="002F3CE7" w:rsidRPr="002F3CE7" w:rsidRDefault="002F3CE7" w:rsidP="002F3CE7">
            <w:pPr>
              <w:rPr>
                <w:i/>
                <w:color w:val="002060"/>
              </w:rPr>
            </w:pPr>
            <w:r w:rsidRPr="002F3CE7">
              <w:rPr>
                <w:i/>
                <w:color w:val="002060"/>
              </w:rPr>
              <w:t>5.00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D751E" w14:textId="77777777" w:rsidR="002F3CE7" w:rsidRPr="002F3CE7" w:rsidRDefault="002F3CE7" w:rsidP="002F3CE7">
            <w:pPr>
              <w:rPr>
                <w:i/>
                <w:color w:val="002060"/>
              </w:rPr>
            </w:pPr>
            <w:r w:rsidRPr="002F3CE7">
              <w:rPr>
                <w:i/>
                <w:color w:val="00206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2BF70" w14:textId="77777777" w:rsidR="002F3CE7" w:rsidRPr="002F3CE7" w:rsidRDefault="002F3CE7" w:rsidP="002F3CE7">
            <w:pPr>
              <w:rPr>
                <w:i/>
                <w:color w:val="002060"/>
              </w:rPr>
            </w:pPr>
            <w:r w:rsidRPr="002F3CE7">
              <w:rPr>
                <w:i/>
                <w:color w:val="002060"/>
              </w:rPr>
              <w:t>5.00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F706BA" w14:textId="77777777" w:rsidR="002F3CE7" w:rsidRPr="002F3CE7" w:rsidRDefault="002F3CE7" w:rsidP="002F3CE7">
            <w:pPr>
              <w:rPr>
                <w:i/>
                <w:color w:val="002060"/>
              </w:rPr>
            </w:pPr>
            <w:r w:rsidRPr="002F3CE7">
              <w:rPr>
                <w:i/>
                <w:color w:val="002060"/>
              </w:rPr>
              <w:t>5.00</w:t>
            </w:r>
          </w:p>
        </w:tc>
        <w:tc>
          <w:tcPr>
            <w:tcW w:w="956" w:type="dxa"/>
            <w:tcBorders>
              <w:top w:val="single" w:sz="4" w:space="0" w:color="000000"/>
              <w:left w:val="single" w:sz="4" w:space="0" w:color="000000"/>
              <w:bottom w:val="single" w:sz="4" w:space="0" w:color="000000"/>
              <w:right w:val="single" w:sz="4" w:space="0" w:color="000000"/>
            </w:tcBorders>
            <w:shd w:val="clear" w:color="auto" w:fill="808080"/>
            <w:tcMar>
              <w:top w:w="9" w:type="dxa"/>
              <w:left w:w="9" w:type="dxa"/>
              <w:bottom w:w="0" w:type="dxa"/>
              <w:right w:w="9" w:type="dxa"/>
            </w:tcMar>
            <w:vAlign w:val="center"/>
            <w:hideMark/>
          </w:tcPr>
          <w:p w14:paraId="3EC9DBA5" w14:textId="77777777" w:rsidR="002F3CE7" w:rsidRPr="002F3CE7" w:rsidRDefault="002F3CE7" w:rsidP="002F3CE7">
            <w:pPr>
              <w:rPr>
                <w:i/>
                <w:color w:val="002060"/>
              </w:rPr>
            </w:pPr>
            <w:r w:rsidRPr="002F3CE7">
              <w:rPr>
                <w:i/>
                <w:color w:val="00206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FFE699"/>
            <w:tcMar>
              <w:top w:w="9" w:type="dxa"/>
              <w:left w:w="9" w:type="dxa"/>
              <w:bottom w:w="0" w:type="dxa"/>
              <w:right w:w="9" w:type="dxa"/>
            </w:tcMar>
            <w:vAlign w:val="center"/>
            <w:hideMark/>
          </w:tcPr>
          <w:p w14:paraId="60FC2D1E" w14:textId="77777777" w:rsidR="002F3CE7" w:rsidRPr="002F3CE7" w:rsidRDefault="002F3CE7" w:rsidP="002F3CE7">
            <w:pPr>
              <w:rPr>
                <w:i/>
                <w:color w:val="002060"/>
              </w:rPr>
            </w:pPr>
            <w:r w:rsidRPr="002F3CE7">
              <w:rPr>
                <w:i/>
                <w:color w:val="002060"/>
              </w:rPr>
              <w:t>1.00</w:t>
            </w:r>
          </w:p>
        </w:tc>
      </w:tr>
      <w:tr w:rsidR="002F3CE7" w:rsidRPr="002F3CE7" w14:paraId="2FA8E207" w14:textId="77777777" w:rsidTr="003C23E4">
        <w:trPr>
          <w:trHeight w:val="741"/>
        </w:trPr>
        <w:tc>
          <w:tcPr>
            <w:tcW w:w="956" w:type="dxa"/>
            <w:tcBorders>
              <w:top w:val="single" w:sz="4" w:space="0" w:color="000000"/>
              <w:left w:val="single" w:sz="8" w:space="0" w:color="000000"/>
              <w:bottom w:val="single" w:sz="8" w:space="0" w:color="000000"/>
              <w:right w:val="single" w:sz="4" w:space="0" w:color="000000"/>
            </w:tcBorders>
            <w:shd w:val="clear" w:color="auto" w:fill="auto"/>
            <w:tcMar>
              <w:top w:w="9" w:type="dxa"/>
              <w:left w:w="9" w:type="dxa"/>
              <w:bottom w:w="0" w:type="dxa"/>
              <w:right w:w="9" w:type="dxa"/>
            </w:tcMar>
            <w:vAlign w:val="bottom"/>
            <w:hideMark/>
          </w:tcPr>
          <w:p w14:paraId="6EA698D0" w14:textId="77777777" w:rsidR="002F3CE7" w:rsidRPr="002F3CE7" w:rsidRDefault="002F3CE7" w:rsidP="002F3CE7">
            <w:pPr>
              <w:rPr>
                <w:i/>
                <w:color w:val="002060"/>
              </w:rPr>
            </w:pPr>
            <w:r w:rsidRPr="002F3CE7">
              <w:rPr>
                <w:i/>
                <w:color w:val="002060"/>
              </w:rPr>
              <w:t>6</w:t>
            </w:r>
          </w:p>
        </w:tc>
        <w:tc>
          <w:tcPr>
            <w:tcW w:w="2928" w:type="dxa"/>
            <w:tcBorders>
              <w:top w:val="single" w:sz="4" w:space="0" w:color="000000"/>
              <w:left w:val="single" w:sz="4"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841657E" w14:textId="77777777" w:rsidR="002F3CE7" w:rsidRPr="002F3CE7" w:rsidRDefault="002F3CE7" w:rsidP="002F3CE7">
            <w:pPr>
              <w:rPr>
                <w:i/>
                <w:color w:val="002060"/>
              </w:rPr>
            </w:pPr>
            <w:r w:rsidRPr="002F3CE7">
              <w:rPr>
                <w:i/>
                <w:color w:val="002060"/>
              </w:rPr>
              <w:t>External Trends/Factors</w:t>
            </w:r>
          </w:p>
        </w:tc>
        <w:tc>
          <w:tcPr>
            <w:tcW w:w="95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F450D" w14:textId="77777777" w:rsidR="002F3CE7" w:rsidRPr="002F3CE7" w:rsidRDefault="002F3CE7" w:rsidP="002F3CE7">
            <w:pPr>
              <w:rPr>
                <w:i/>
                <w:color w:val="002060"/>
              </w:rPr>
            </w:pPr>
            <w:r w:rsidRPr="002F3CE7">
              <w:rPr>
                <w:i/>
                <w:color w:val="002060"/>
              </w:rPr>
              <w:t>5.00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8D8FE" w14:textId="77777777" w:rsidR="002F3CE7" w:rsidRPr="002F3CE7" w:rsidRDefault="002F3CE7" w:rsidP="002F3CE7">
            <w:pPr>
              <w:rPr>
                <w:i/>
                <w:color w:val="002060"/>
              </w:rPr>
            </w:pPr>
            <w:r w:rsidRPr="002F3CE7">
              <w:rPr>
                <w:i/>
                <w:color w:val="002060"/>
              </w:rPr>
              <w:t>3.00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5956E0" w14:textId="77777777" w:rsidR="002F3CE7" w:rsidRPr="002F3CE7" w:rsidRDefault="002F3CE7" w:rsidP="002F3CE7">
            <w:pPr>
              <w:rPr>
                <w:i/>
                <w:color w:val="002060"/>
              </w:rPr>
            </w:pPr>
            <w:r w:rsidRPr="002F3CE7">
              <w:rPr>
                <w:i/>
                <w:color w:val="002060"/>
              </w:rPr>
              <w:t>3.00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6979C" w14:textId="77777777" w:rsidR="002F3CE7" w:rsidRPr="002F3CE7" w:rsidRDefault="002F3CE7" w:rsidP="002F3CE7">
            <w:pPr>
              <w:rPr>
                <w:i/>
                <w:color w:val="002060"/>
              </w:rPr>
            </w:pPr>
            <w:r w:rsidRPr="002F3CE7">
              <w:rPr>
                <w:i/>
                <w:color w:val="002060"/>
              </w:rPr>
              <w:t>3.00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D2F30C" w14:textId="77777777" w:rsidR="002F3CE7" w:rsidRPr="002F3CE7" w:rsidRDefault="002F3CE7" w:rsidP="002F3CE7">
            <w:pPr>
              <w:rPr>
                <w:i/>
                <w:color w:val="002060"/>
              </w:rPr>
            </w:pPr>
            <w:r w:rsidRPr="002F3CE7">
              <w:rPr>
                <w:i/>
                <w:color w:val="002060"/>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808080"/>
            <w:tcMar>
              <w:top w:w="9" w:type="dxa"/>
              <w:left w:w="9" w:type="dxa"/>
              <w:bottom w:w="0" w:type="dxa"/>
              <w:right w:w="9" w:type="dxa"/>
            </w:tcMar>
            <w:vAlign w:val="center"/>
            <w:hideMark/>
          </w:tcPr>
          <w:p w14:paraId="3FC2CFC0" w14:textId="77777777" w:rsidR="002F3CE7" w:rsidRPr="002F3CE7" w:rsidRDefault="002F3CE7" w:rsidP="002F3CE7">
            <w:pPr>
              <w:rPr>
                <w:i/>
                <w:color w:val="002060"/>
              </w:rPr>
            </w:pPr>
            <w:r w:rsidRPr="002F3CE7">
              <w:rPr>
                <w:i/>
                <w:color w:val="002060"/>
              </w:rPr>
              <w:t>1.00</w:t>
            </w:r>
          </w:p>
        </w:tc>
      </w:tr>
    </w:tbl>
    <w:p w14:paraId="51D2684D" w14:textId="1D06A9C9" w:rsidR="004448E8" w:rsidRDefault="004448E8" w:rsidP="00FE616C">
      <w:pPr>
        <w:rPr>
          <w:i/>
          <w:color w:val="002060"/>
        </w:rPr>
      </w:pPr>
    </w:p>
    <w:p w14:paraId="6CBB16E6" w14:textId="77777777" w:rsidR="002E728A" w:rsidRDefault="002E728A">
      <w:pPr>
        <w:spacing w:after="160" w:line="259" w:lineRule="auto"/>
        <w:rPr>
          <w:b/>
          <w:color w:val="002060"/>
        </w:rPr>
      </w:pPr>
      <w:r>
        <w:rPr>
          <w:b/>
          <w:color w:val="002060"/>
        </w:rPr>
        <w:br w:type="page"/>
      </w:r>
    </w:p>
    <w:p w14:paraId="5BB598EA" w14:textId="312B7F30" w:rsidR="002F3CE7" w:rsidRDefault="0085750E" w:rsidP="00FE616C">
      <w:pPr>
        <w:rPr>
          <w:b/>
          <w:color w:val="002060"/>
        </w:rPr>
      </w:pPr>
      <w:r>
        <w:rPr>
          <w:b/>
          <w:color w:val="002060"/>
        </w:rPr>
        <w:t>Table 7</w:t>
      </w:r>
      <w:r w:rsidR="002F3CE7">
        <w:rPr>
          <w:b/>
          <w:color w:val="002060"/>
        </w:rPr>
        <w:t xml:space="preserve">: </w:t>
      </w:r>
      <w:r w:rsidR="002F3CE7" w:rsidRPr="002F3CE7">
        <w:rPr>
          <w:b/>
          <w:color w:val="002060"/>
        </w:rPr>
        <w:t>Example of quantified indications for the proportion of change in KPI value attributed to each PORTIS measure</w:t>
      </w:r>
    </w:p>
    <w:p w14:paraId="70BCA82D" w14:textId="108CCCFF" w:rsidR="002F3CE7" w:rsidRDefault="002F3CE7" w:rsidP="00FE616C">
      <w:pPr>
        <w:rPr>
          <w:b/>
          <w:color w:val="002060"/>
        </w:rPr>
      </w:pPr>
    </w:p>
    <w:tbl>
      <w:tblPr>
        <w:tblW w:w="7078" w:type="dxa"/>
        <w:tblCellMar>
          <w:left w:w="0" w:type="dxa"/>
          <w:right w:w="0" w:type="dxa"/>
        </w:tblCellMar>
        <w:tblLook w:val="0600" w:firstRow="0" w:lastRow="0" w:firstColumn="0" w:lastColumn="0" w:noHBand="1" w:noVBand="1"/>
      </w:tblPr>
      <w:tblGrid>
        <w:gridCol w:w="841"/>
        <w:gridCol w:w="4679"/>
        <w:gridCol w:w="1558"/>
      </w:tblGrid>
      <w:tr w:rsidR="002F3CE7" w:rsidRPr="004448E8" w14:paraId="5499CCBF" w14:textId="77777777" w:rsidTr="00D45590">
        <w:trPr>
          <w:trHeight w:val="320"/>
        </w:trPr>
        <w:tc>
          <w:tcPr>
            <w:tcW w:w="841" w:type="dxa"/>
            <w:tcBorders>
              <w:top w:val="single" w:sz="8" w:space="0" w:color="000000"/>
              <w:left w:val="single" w:sz="8" w:space="0" w:color="000000"/>
              <w:bottom w:val="single" w:sz="8" w:space="0" w:color="000000"/>
              <w:right w:val="single" w:sz="8" w:space="0" w:color="000000"/>
            </w:tcBorders>
            <w:shd w:val="clear" w:color="auto" w:fill="ED7D31"/>
            <w:tcMar>
              <w:top w:w="10" w:type="dxa"/>
              <w:left w:w="10" w:type="dxa"/>
              <w:bottom w:w="0" w:type="dxa"/>
              <w:right w:w="10" w:type="dxa"/>
            </w:tcMar>
            <w:vAlign w:val="bottom"/>
            <w:hideMark/>
          </w:tcPr>
          <w:p w14:paraId="32CFFD0D" w14:textId="77777777" w:rsidR="002F3CE7" w:rsidRPr="004448E8" w:rsidRDefault="002F3CE7" w:rsidP="00836803">
            <w:pPr>
              <w:rPr>
                <w:i/>
                <w:color w:val="002060"/>
              </w:rPr>
            </w:pPr>
            <w:r w:rsidRPr="004448E8">
              <w:rPr>
                <w:b/>
                <w:bCs/>
                <w:i/>
                <w:color w:val="002060"/>
              </w:rPr>
              <w:t>KPI</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ED7D31"/>
            <w:tcMar>
              <w:top w:w="10" w:type="dxa"/>
              <w:left w:w="10" w:type="dxa"/>
              <w:bottom w:w="0" w:type="dxa"/>
              <w:right w:w="10" w:type="dxa"/>
            </w:tcMar>
            <w:vAlign w:val="bottom"/>
            <w:hideMark/>
          </w:tcPr>
          <w:p w14:paraId="702B9FAE" w14:textId="77777777" w:rsidR="002F3CE7" w:rsidRPr="004448E8" w:rsidRDefault="002F3CE7" w:rsidP="00836803">
            <w:pPr>
              <w:rPr>
                <w:i/>
                <w:color w:val="002060"/>
              </w:rPr>
            </w:pPr>
            <w:r w:rsidRPr="004448E8">
              <w:rPr>
                <w:b/>
                <w:bCs/>
                <w:i/>
                <w:color w:val="002060"/>
              </w:rPr>
              <w:t>reduction in city centre traffic</w:t>
            </w:r>
          </w:p>
        </w:tc>
      </w:tr>
      <w:tr w:rsidR="002F3CE7" w:rsidRPr="004448E8" w14:paraId="38FD1B0B" w14:textId="77777777" w:rsidTr="00D45590">
        <w:trPr>
          <w:trHeight w:val="821"/>
        </w:trPr>
        <w:tc>
          <w:tcPr>
            <w:tcW w:w="841" w:type="dxa"/>
            <w:tcBorders>
              <w:top w:val="single" w:sz="8" w:space="0" w:color="000000"/>
              <w:left w:val="single" w:sz="8" w:space="0" w:color="000000"/>
              <w:bottom w:val="single" w:sz="8" w:space="0" w:color="000000"/>
              <w:right w:val="single" w:sz="4" w:space="0" w:color="000000"/>
            </w:tcBorders>
            <w:shd w:val="clear" w:color="auto" w:fill="auto"/>
            <w:tcMar>
              <w:top w:w="10" w:type="dxa"/>
              <w:left w:w="10" w:type="dxa"/>
              <w:bottom w:w="0" w:type="dxa"/>
              <w:right w:w="10" w:type="dxa"/>
            </w:tcMar>
            <w:vAlign w:val="bottom"/>
            <w:hideMark/>
          </w:tcPr>
          <w:p w14:paraId="2B50A304" w14:textId="77777777" w:rsidR="002F3CE7" w:rsidRPr="004448E8" w:rsidRDefault="002F3CE7" w:rsidP="00836803">
            <w:pPr>
              <w:rPr>
                <w:i/>
                <w:color w:val="002060"/>
              </w:rPr>
            </w:pPr>
            <w:r w:rsidRPr="004448E8">
              <w:rPr>
                <w:i/>
                <w:color w:val="002060"/>
              </w:rPr>
              <w:t>Row</w:t>
            </w:r>
          </w:p>
        </w:tc>
        <w:tc>
          <w:tcPr>
            <w:tcW w:w="4679" w:type="dxa"/>
            <w:tcBorders>
              <w:top w:val="single" w:sz="8"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vAlign w:val="center"/>
            <w:hideMark/>
          </w:tcPr>
          <w:p w14:paraId="4F8A8BF2" w14:textId="77777777" w:rsidR="002F3CE7" w:rsidRPr="004448E8" w:rsidRDefault="002F3CE7" w:rsidP="00836803">
            <w:pPr>
              <w:rPr>
                <w:i/>
                <w:color w:val="002060"/>
              </w:rPr>
            </w:pPr>
            <w:r w:rsidRPr="004448E8">
              <w:rPr>
                <w:i/>
                <w:color w:val="002060"/>
              </w:rPr>
              <w:t>Measure Name</w:t>
            </w:r>
          </w:p>
        </w:tc>
        <w:tc>
          <w:tcPr>
            <w:tcW w:w="1558" w:type="dxa"/>
            <w:tcBorders>
              <w:top w:val="single" w:sz="8" w:space="0" w:color="000000"/>
              <w:left w:val="single" w:sz="4" w:space="0" w:color="000000"/>
              <w:bottom w:val="single" w:sz="8" w:space="0" w:color="000000"/>
              <w:right w:val="single" w:sz="8" w:space="0" w:color="000000"/>
            </w:tcBorders>
            <w:shd w:val="clear" w:color="auto" w:fill="F2F2F2"/>
            <w:tcMar>
              <w:top w:w="10" w:type="dxa"/>
              <w:left w:w="10" w:type="dxa"/>
              <w:bottom w:w="0" w:type="dxa"/>
              <w:right w:w="10" w:type="dxa"/>
            </w:tcMar>
            <w:vAlign w:val="center"/>
            <w:hideMark/>
          </w:tcPr>
          <w:p w14:paraId="1127A54C" w14:textId="77777777" w:rsidR="002F3CE7" w:rsidRPr="004448E8" w:rsidRDefault="002F3CE7" w:rsidP="00836803">
            <w:pPr>
              <w:rPr>
                <w:i/>
                <w:color w:val="002060"/>
              </w:rPr>
            </w:pPr>
            <w:r w:rsidRPr="004448E8">
              <w:rPr>
                <w:i/>
                <w:color w:val="002060"/>
              </w:rPr>
              <w:t xml:space="preserve">Proportion of change in KPI value attributed to measure </w:t>
            </w:r>
          </w:p>
        </w:tc>
      </w:tr>
      <w:tr w:rsidR="002F3CE7" w:rsidRPr="004448E8" w14:paraId="1FDD9B04" w14:textId="77777777" w:rsidTr="00D45590">
        <w:trPr>
          <w:trHeight w:val="463"/>
        </w:trPr>
        <w:tc>
          <w:tcPr>
            <w:tcW w:w="841" w:type="dxa"/>
            <w:tcBorders>
              <w:top w:val="single" w:sz="8"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10344F1" w14:textId="77777777" w:rsidR="002F3CE7" w:rsidRPr="004448E8" w:rsidRDefault="002F3CE7" w:rsidP="00836803">
            <w:pPr>
              <w:rPr>
                <w:i/>
                <w:color w:val="002060"/>
              </w:rPr>
            </w:pPr>
            <w:r w:rsidRPr="004448E8">
              <w:rPr>
                <w:i/>
                <w:color w:val="002060"/>
              </w:rPr>
              <w:t>1</w:t>
            </w:r>
          </w:p>
        </w:tc>
        <w:tc>
          <w:tcPr>
            <w:tcW w:w="4679" w:type="dxa"/>
            <w:tcBorders>
              <w:top w:val="single" w:sz="8"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578CA7C" w14:textId="77777777" w:rsidR="002F3CE7" w:rsidRPr="004448E8" w:rsidRDefault="002F3CE7" w:rsidP="00836803">
            <w:pPr>
              <w:rPr>
                <w:i/>
                <w:color w:val="002060"/>
              </w:rPr>
            </w:pPr>
            <w:r w:rsidRPr="004448E8">
              <w:rPr>
                <w:i/>
                <w:color w:val="002060"/>
              </w:rPr>
              <w:t>Redesigning Collective Travel</w:t>
            </w:r>
          </w:p>
        </w:tc>
        <w:tc>
          <w:tcPr>
            <w:tcW w:w="1558" w:type="dxa"/>
            <w:tcBorders>
              <w:top w:val="single" w:sz="8"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14:paraId="15FCD755" w14:textId="77777777" w:rsidR="002F3CE7" w:rsidRPr="004448E8" w:rsidRDefault="002F3CE7" w:rsidP="00836803">
            <w:pPr>
              <w:rPr>
                <w:i/>
                <w:color w:val="002060"/>
              </w:rPr>
            </w:pPr>
            <w:r w:rsidRPr="004448E8">
              <w:rPr>
                <w:b/>
                <w:bCs/>
                <w:i/>
                <w:color w:val="002060"/>
              </w:rPr>
              <w:t>6%</w:t>
            </w:r>
          </w:p>
        </w:tc>
      </w:tr>
      <w:tr w:rsidR="002F3CE7" w:rsidRPr="004448E8" w14:paraId="5174851C" w14:textId="77777777" w:rsidTr="00D45590">
        <w:trPr>
          <w:trHeight w:val="480"/>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390B8B4" w14:textId="77777777" w:rsidR="002F3CE7" w:rsidRPr="004448E8" w:rsidRDefault="002F3CE7" w:rsidP="00836803">
            <w:pPr>
              <w:rPr>
                <w:i/>
                <w:color w:val="002060"/>
              </w:rPr>
            </w:pPr>
            <w:r w:rsidRPr="004448E8">
              <w:rPr>
                <w:i/>
                <w:color w:val="002060"/>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20A9979" w14:textId="77777777" w:rsidR="002F3CE7" w:rsidRPr="004448E8" w:rsidRDefault="002F3CE7" w:rsidP="00836803">
            <w:pPr>
              <w:rPr>
                <w:i/>
                <w:color w:val="002060"/>
              </w:rPr>
            </w:pPr>
            <w:r w:rsidRPr="004448E8">
              <w:rPr>
                <w:i/>
                <w:color w:val="002060"/>
              </w:rPr>
              <w:t>Developing Travel Plans</w:t>
            </w:r>
          </w:p>
        </w:tc>
        <w:tc>
          <w:tcPr>
            <w:tcW w:w="1558"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14:paraId="5BAE86C1" w14:textId="77777777" w:rsidR="002F3CE7" w:rsidRPr="004448E8" w:rsidRDefault="002F3CE7" w:rsidP="00836803">
            <w:pPr>
              <w:rPr>
                <w:i/>
                <w:color w:val="002060"/>
              </w:rPr>
            </w:pPr>
            <w:r w:rsidRPr="004448E8">
              <w:rPr>
                <w:b/>
                <w:bCs/>
                <w:i/>
                <w:color w:val="002060"/>
              </w:rPr>
              <w:t>19%</w:t>
            </w:r>
          </w:p>
        </w:tc>
      </w:tr>
      <w:tr w:rsidR="002F3CE7" w:rsidRPr="004448E8" w14:paraId="41748C24" w14:textId="77777777" w:rsidTr="00D45590">
        <w:trPr>
          <w:trHeight w:val="440"/>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E236BB2" w14:textId="77777777" w:rsidR="002F3CE7" w:rsidRPr="004448E8" w:rsidRDefault="002F3CE7" w:rsidP="00836803">
            <w:pPr>
              <w:rPr>
                <w:i/>
                <w:color w:val="002060"/>
              </w:rPr>
            </w:pPr>
            <w:r w:rsidRPr="004448E8">
              <w:rPr>
                <w:i/>
                <w:color w:val="002060"/>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FE7746A" w14:textId="77777777" w:rsidR="002F3CE7" w:rsidRPr="004448E8" w:rsidRDefault="002F3CE7" w:rsidP="00836803">
            <w:pPr>
              <w:rPr>
                <w:i/>
                <w:color w:val="002060"/>
              </w:rPr>
            </w:pPr>
            <w:r w:rsidRPr="004448E8">
              <w:rPr>
                <w:i/>
                <w:color w:val="002060"/>
              </w:rPr>
              <w:t>Supporting Sound Planning and Decision making</w:t>
            </w:r>
          </w:p>
        </w:tc>
        <w:tc>
          <w:tcPr>
            <w:tcW w:w="1558"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14:paraId="5D69DDF3" w14:textId="77777777" w:rsidR="002F3CE7" w:rsidRPr="004448E8" w:rsidRDefault="002F3CE7" w:rsidP="00836803">
            <w:pPr>
              <w:rPr>
                <w:i/>
                <w:color w:val="002060"/>
              </w:rPr>
            </w:pPr>
            <w:r w:rsidRPr="004448E8">
              <w:rPr>
                <w:b/>
                <w:bCs/>
                <w:i/>
                <w:color w:val="002060"/>
              </w:rPr>
              <w:t>6%</w:t>
            </w:r>
          </w:p>
        </w:tc>
      </w:tr>
      <w:tr w:rsidR="002F3CE7" w:rsidRPr="004448E8" w14:paraId="21D7A665" w14:textId="77777777" w:rsidTr="00D45590">
        <w:trPr>
          <w:trHeight w:val="450"/>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312B41" w14:textId="77777777" w:rsidR="002F3CE7" w:rsidRPr="004448E8" w:rsidRDefault="002F3CE7" w:rsidP="00836803">
            <w:pPr>
              <w:rPr>
                <w:i/>
                <w:color w:val="002060"/>
              </w:rPr>
            </w:pPr>
            <w:r w:rsidRPr="004448E8">
              <w:rPr>
                <w:i/>
                <w:color w:val="002060"/>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C551EDA" w14:textId="77777777" w:rsidR="002F3CE7" w:rsidRPr="004448E8" w:rsidRDefault="002F3CE7" w:rsidP="00836803">
            <w:pPr>
              <w:rPr>
                <w:i/>
                <w:color w:val="002060"/>
              </w:rPr>
            </w:pPr>
            <w:r w:rsidRPr="004448E8">
              <w:rPr>
                <w:i/>
                <w:color w:val="002060"/>
              </w:rPr>
              <w:t>Developing Dynamic Traffic Management</w:t>
            </w:r>
          </w:p>
        </w:tc>
        <w:tc>
          <w:tcPr>
            <w:tcW w:w="1558"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14:paraId="388D5A8D" w14:textId="77777777" w:rsidR="002F3CE7" w:rsidRPr="004448E8" w:rsidRDefault="002F3CE7" w:rsidP="00836803">
            <w:pPr>
              <w:rPr>
                <w:i/>
                <w:color w:val="002060"/>
              </w:rPr>
            </w:pPr>
            <w:r w:rsidRPr="004448E8">
              <w:rPr>
                <w:b/>
                <w:bCs/>
                <w:i/>
                <w:color w:val="002060"/>
              </w:rPr>
              <w:t>11%</w:t>
            </w:r>
          </w:p>
        </w:tc>
      </w:tr>
      <w:tr w:rsidR="002F3CE7" w:rsidRPr="004448E8" w14:paraId="641F28EB" w14:textId="77777777" w:rsidTr="00D45590">
        <w:trPr>
          <w:trHeight w:val="440"/>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9173BFE" w14:textId="77777777" w:rsidR="002F3CE7" w:rsidRPr="004448E8" w:rsidRDefault="002F3CE7" w:rsidP="00836803">
            <w:pPr>
              <w:rPr>
                <w:i/>
                <w:color w:val="002060"/>
              </w:rPr>
            </w:pPr>
            <w:r w:rsidRPr="004448E8">
              <w:rPr>
                <w:i/>
                <w:color w:val="002060"/>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B656E2B" w14:textId="77777777" w:rsidR="002F3CE7" w:rsidRPr="004448E8" w:rsidRDefault="002F3CE7" w:rsidP="00836803">
            <w:pPr>
              <w:rPr>
                <w:i/>
                <w:color w:val="002060"/>
              </w:rPr>
            </w:pPr>
            <w:r w:rsidRPr="004448E8">
              <w:rPr>
                <w:i/>
                <w:color w:val="002060"/>
              </w:rPr>
              <w:t>Enhancing Demand Management</w:t>
            </w:r>
          </w:p>
        </w:tc>
        <w:tc>
          <w:tcPr>
            <w:tcW w:w="1558"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14:paraId="3D403ADE" w14:textId="77777777" w:rsidR="002F3CE7" w:rsidRPr="004448E8" w:rsidRDefault="002F3CE7" w:rsidP="00836803">
            <w:pPr>
              <w:rPr>
                <w:i/>
                <w:color w:val="002060"/>
              </w:rPr>
            </w:pPr>
            <w:r w:rsidRPr="004448E8">
              <w:rPr>
                <w:b/>
                <w:bCs/>
                <w:i/>
                <w:color w:val="002060"/>
              </w:rPr>
              <w:t>29%</w:t>
            </w:r>
          </w:p>
        </w:tc>
      </w:tr>
      <w:tr w:rsidR="002F3CE7" w:rsidRPr="004448E8" w14:paraId="52F8377B" w14:textId="77777777" w:rsidTr="00D45590">
        <w:trPr>
          <w:trHeight w:val="463"/>
        </w:trPr>
        <w:tc>
          <w:tcPr>
            <w:tcW w:w="841" w:type="dxa"/>
            <w:tcBorders>
              <w:top w:val="single" w:sz="4" w:space="0" w:color="000000"/>
              <w:left w:val="single" w:sz="8" w:space="0" w:color="000000"/>
              <w:bottom w:val="single" w:sz="8" w:space="0" w:color="000000"/>
              <w:right w:val="single" w:sz="4" w:space="0" w:color="000000"/>
            </w:tcBorders>
            <w:shd w:val="clear" w:color="auto" w:fill="auto"/>
            <w:tcMar>
              <w:top w:w="10" w:type="dxa"/>
              <w:left w:w="10" w:type="dxa"/>
              <w:bottom w:w="0" w:type="dxa"/>
              <w:right w:w="10" w:type="dxa"/>
            </w:tcMar>
            <w:vAlign w:val="bottom"/>
            <w:hideMark/>
          </w:tcPr>
          <w:p w14:paraId="1A71AA26" w14:textId="77777777" w:rsidR="002F3CE7" w:rsidRPr="004448E8" w:rsidRDefault="002F3CE7" w:rsidP="00836803">
            <w:pPr>
              <w:rPr>
                <w:i/>
                <w:color w:val="002060"/>
              </w:rPr>
            </w:pPr>
            <w:r w:rsidRPr="004448E8">
              <w:rPr>
                <w:i/>
                <w:color w:val="002060"/>
              </w:rPr>
              <w:t>6</w:t>
            </w:r>
          </w:p>
        </w:tc>
        <w:tc>
          <w:tcPr>
            <w:tcW w:w="4679" w:type="dxa"/>
            <w:tcBorders>
              <w:top w:val="single" w:sz="4"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vAlign w:val="center"/>
            <w:hideMark/>
          </w:tcPr>
          <w:p w14:paraId="15992110" w14:textId="77777777" w:rsidR="002F3CE7" w:rsidRPr="004448E8" w:rsidRDefault="002F3CE7" w:rsidP="00836803">
            <w:pPr>
              <w:rPr>
                <w:i/>
                <w:color w:val="002060"/>
              </w:rPr>
            </w:pPr>
            <w:r w:rsidRPr="004448E8">
              <w:rPr>
                <w:i/>
                <w:color w:val="002060"/>
              </w:rPr>
              <w:t>External Trends/Factors</w:t>
            </w:r>
          </w:p>
        </w:tc>
        <w:tc>
          <w:tcPr>
            <w:tcW w:w="1558"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14:paraId="2E963190" w14:textId="77777777" w:rsidR="002F3CE7" w:rsidRPr="004448E8" w:rsidRDefault="002F3CE7" w:rsidP="00836803">
            <w:pPr>
              <w:rPr>
                <w:i/>
                <w:color w:val="002060"/>
              </w:rPr>
            </w:pPr>
            <w:r w:rsidRPr="004448E8">
              <w:rPr>
                <w:b/>
                <w:bCs/>
                <w:i/>
                <w:color w:val="002060"/>
              </w:rPr>
              <w:t>30%</w:t>
            </w:r>
          </w:p>
        </w:tc>
      </w:tr>
    </w:tbl>
    <w:p w14:paraId="04A115DA" w14:textId="77777777" w:rsidR="002F3CE7" w:rsidRPr="002F3CE7" w:rsidRDefault="002F3CE7" w:rsidP="00FE616C">
      <w:pPr>
        <w:rPr>
          <w:b/>
          <w:color w:val="002060"/>
        </w:rPr>
      </w:pPr>
    </w:p>
    <w:p w14:paraId="6ED54E25" w14:textId="77777777" w:rsidR="0087006F" w:rsidRDefault="0087006F" w:rsidP="00FE616C">
      <w:pPr>
        <w:rPr>
          <w:i/>
          <w:color w:val="002060"/>
        </w:rPr>
      </w:pPr>
    </w:p>
    <w:p w14:paraId="1D87F81A" w14:textId="61BA9F4C" w:rsidR="0087006F" w:rsidRDefault="00CA4154" w:rsidP="00FE616C">
      <w:pPr>
        <w:rPr>
          <w:i/>
          <w:color w:val="002060"/>
        </w:rPr>
      </w:pPr>
      <w:r w:rsidRPr="00074DA4">
        <w:rPr>
          <w:b/>
          <w:color w:val="002060"/>
        </w:rPr>
        <w:t xml:space="preserve">Table </w:t>
      </w:r>
      <w:r w:rsidR="0085750E">
        <w:rPr>
          <w:b/>
          <w:color w:val="002060"/>
        </w:rPr>
        <w:t>8</w:t>
      </w:r>
      <w:r w:rsidRPr="00074DA4">
        <w:rPr>
          <w:b/>
          <w:color w:val="002060"/>
        </w:rPr>
        <w:t xml:space="preserve">: </w:t>
      </w:r>
      <w:r w:rsidR="00F76777" w:rsidRPr="002F3CE7">
        <w:rPr>
          <w:b/>
          <w:color w:val="002060"/>
        </w:rPr>
        <w:t xml:space="preserve">Example of </w:t>
      </w:r>
      <w:r w:rsidR="00F76777">
        <w:rPr>
          <w:b/>
          <w:color w:val="002060"/>
        </w:rPr>
        <w:t xml:space="preserve">gradings </w:t>
      </w:r>
      <w:r w:rsidR="00F76777" w:rsidRPr="002F3CE7">
        <w:rPr>
          <w:b/>
          <w:color w:val="002060"/>
        </w:rPr>
        <w:t xml:space="preserve">for the </w:t>
      </w:r>
      <w:r w:rsidR="00F76777">
        <w:rPr>
          <w:b/>
          <w:color w:val="002060"/>
        </w:rPr>
        <w:t xml:space="preserve">relative contribution to </w:t>
      </w:r>
      <w:r w:rsidR="00F76777" w:rsidRPr="002F3CE7">
        <w:rPr>
          <w:b/>
          <w:color w:val="002060"/>
        </w:rPr>
        <w:t>of change in KPI value attributed to each PORTIS measure</w:t>
      </w:r>
    </w:p>
    <w:tbl>
      <w:tblPr>
        <w:tblW w:w="9781" w:type="dxa"/>
        <w:tblInd w:w="-10" w:type="dxa"/>
        <w:tblLook w:val="0600" w:firstRow="0" w:lastRow="0" w:firstColumn="0" w:lastColumn="0" w:noHBand="1" w:noVBand="1"/>
      </w:tblPr>
      <w:tblGrid>
        <w:gridCol w:w="851"/>
        <w:gridCol w:w="4536"/>
        <w:gridCol w:w="1701"/>
        <w:gridCol w:w="1417"/>
        <w:gridCol w:w="1276"/>
      </w:tblGrid>
      <w:tr w:rsidR="00CA4154" w:rsidRPr="00CA4154" w14:paraId="23C02ECF" w14:textId="77777777" w:rsidTr="00134E83">
        <w:trPr>
          <w:trHeight w:val="580"/>
        </w:trPr>
        <w:tc>
          <w:tcPr>
            <w:tcW w:w="851" w:type="dxa"/>
            <w:tcBorders>
              <w:top w:val="single" w:sz="8" w:space="0" w:color="000000"/>
              <w:left w:val="single" w:sz="8" w:space="0" w:color="000000"/>
              <w:bottom w:val="single" w:sz="8" w:space="0" w:color="000000"/>
              <w:right w:val="nil"/>
            </w:tcBorders>
            <w:shd w:val="clear" w:color="000000" w:fill="ED7D31"/>
            <w:vAlign w:val="center"/>
            <w:hideMark/>
          </w:tcPr>
          <w:p w14:paraId="1D355F8A" w14:textId="77777777" w:rsidR="00CA4154" w:rsidRPr="00CA4154" w:rsidRDefault="00CA4154" w:rsidP="00CA4154">
            <w:pPr>
              <w:rPr>
                <w:rFonts w:eastAsia="Times New Roman"/>
                <w:b/>
                <w:bCs/>
                <w:i/>
                <w:iCs/>
                <w:color w:val="002060"/>
                <w:lang w:eastAsia="en-GB"/>
              </w:rPr>
            </w:pPr>
            <w:r w:rsidRPr="00CA4154">
              <w:rPr>
                <w:rFonts w:eastAsia="Times New Roman"/>
                <w:b/>
                <w:bCs/>
                <w:i/>
                <w:iCs/>
                <w:color w:val="002060"/>
                <w:lang w:eastAsia="en-GB"/>
              </w:rPr>
              <w:t>KPI</w:t>
            </w:r>
          </w:p>
        </w:tc>
        <w:tc>
          <w:tcPr>
            <w:tcW w:w="8930" w:type="dxa"/>
            <w:gridSpan w:val="4"/>
            <w:tcBorders>
              <w:top w:val="single" w:sz="8" w:space="0" w:color="auto"/>
              <w:left w:val="single" w:sz="8" w:space="0" w:color="auto"/>
              <w:bottom w:val="nil"/>
              <w:right w:val="single" w:sz="8" w:space="0" w:color="000000"/>
            </w:tcBorders>
            <w:shd w:val="clear" w:color="000000" w:fill="ED7D31"/>
            <w:vAlign w:val="center"/>
            <w:hideMark/>
          </w:tcPr>
          <w:p w14:paraId="239EF23F" w14:textId="77777777" w:rsidR="00CA4154" w:rsidRPr="00CA4154" w:rsidRDefault="00CA4154" w:rsidP="00CA4154">
            <w:pPr>
              <w:jc w:val="center"/>
              <w:rPr>
                <w:rFonts w:eastAsia="Times New Roman"/>
                <w:b/>
                <w:bCs/>
                <w:i/>
                <w:iCs/>
                <w:color w:val="002060"/>
                <w:lang w:eastAsia="en-GB"/>
              </w:rPr>
            </w:pPr>
            <w:r w:rsidRPr="00CA4154">
              <w:rPr>
                <w:rFonts w:eastAsia="Times New Roman"/>
                <w:b/>
                <w:bCs/>
                <w:i/>
                <w:iCs/>
                <w:color w:val="002060"/>
                <w:lang w:eastAsia="en-GB"/>
              </w:rPr>
              <w:t>reduction in city centre traffic</w:t>
            </w:r>
          </w:p>
        </w:tc>
      </w:tr>
      <w:tr w:rsidR="00CA4154" w:rsidRPr="00CA4154" w14:paraId="75AA0248" w14:textId="77777777" w:rsidTr="00134E83">
        <w:trPr>
          <w:trHeight w:val="880"/>
        </w:trPr>
        <w:tc>
          <w:tcPr>
            <w:tcW w:w="851" w:type="dxa"/>
            <w:tcBorders>
              <w:top w:val="nil"/>
              <w:left w:val="single" w:sz="8" w:space="0" w:color="000000"/>
              <w:bottom w:val="single" w:sz="8" w:space="0" w:color="000000"/>
              <w:right w:val="nil"/>
            </w:tcBorders>
            <w:shd w:val="clear" w:color="auto" w:fill="auto"/>
            <w:vAlign w:val="center"/>
            <w:hideMark/>
          </w:tcPr>
          <w:p w14:paraId="1ED07F76" w14:textId="77777777" w:rsidR="00CA4154" w:rsidRPr="00CA4154" w:rsidRDefault="00CA4154" w:rsidP="00CA4154">
            <w:pPr>
              <w:rPr>
                <w:rFonts w:eastAsia="Times New Roman"/>
                <w:i/>
                <w:iCs/>
                <w:color w:val="002060"/>
                <w:lang w:eastAsia="en-GB"/>
              </w:rPr>
            </w:pPr>
            <w:r w:rsidRPr="00CA4154">
              <w:rPr>
                <w:rFonts w:eastAsia="Times New Roman"/>
                <w:i/>
                <w:iCs/>
                <w:color w:val="002060"/>
                <w:lang w:eastAsia="en-GB"/>
              </w:rPr>
              <w:t>Row</w:t>
            </w:r>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B6978D" w14:textId="77777777" w:rsidR="00CA4154" w:rsidRPr="00CA4154" w:rsidRDefault="00CA4154" w:rsidP="00CA4154">
            <w:pPr>
              <w:rPr>
                <w:rFonts w:eastAsia="Times New Roman"/>
                <w:i/>
                <w:iCs/>
                <w:color w:val="002060"/>
                <w:lang w:eastAsia="en-GB"/>
              </w:rPr>
            </w:pPr>
            <w:r w:rsidRPr="00CA4154">
              <w:rPr>
                <w:rFonts w:eastAsia="Times New Roman"/>
                <w:i/>
                <w:iCs/>
                <w:color w:val="002060"/>
                <w:lang w:eastAsia="en-GB"/>
              </w:rPr>
              <w:t>Measure Name</w:t>
            </w:r>
          </w:p>
        </w:tc>
        <w:tc>
          <w:tcPr>
            <w:tcW w:w="1701" w:type="dxa"/>
            <w:tcBorders>
              <w:top w:val="single" w:sz="8" w:space="0" w:color="auto"/>
              <w:left w:val="nil"/>
              <w:bottom w:val="single" w:sz="8" w:space="0" w:color="auto"/>
              <w:right w:val="single" w:sz="8" w:space="0" w:color="auto"/>
            </w:tcBorders>
            <w:shd w:val="clear" w:color="000000" w:fill="F2F2F2"/>
            <w:vAlign w:val="center"/>
            <w:hideMark/>
          </w:tcPr>
          <w:p w14:paraId="5AE0D337" w14:textId="77777777" w:rsidR="00CA4154" w:rsidRPr="00CA4154" w:rsidRDefault="00CA4154" w:rsidP="00CA4154">
            <w:pPr>
              <w:rPr>
                <w:rFonts w:eastAsia="Times New Roman"/>
                <w:i/>
                <w:iCs/>
                <w:color w:val="002060"/>
                <w:lang w:eastAsia="en-GB"/>
              </w:rPr>
            </w:pPr>
            <w:r w:rsidRPr="00CA4154">
              <w:rPr>
                <w:rFonts w:eastAsia="Times New Roman"/>
                <w:i/>
                <w:iCs/>
                <w:color w:val="002060"/>
                <w:lang w:eastAsia="en-GB"/>
              </w:rPr>
              <w:t xml:space="preserve">Proportion of change in KPI value attributed to measure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7E13BA65" w14:textId="021097F5" w:rsidR="00CA4154" w:rsidRPr="00CA4154" w:rsidRDefault="00CA4154" w:rsidP="00CA4154">
            <w:pPr>
              <w:rPr>
                <w:rFonts w:eastAsia="Times New Roman"/>
                <w:i/>
                <w:iCs/>
                <w:color w:val="002060"/>
                <w:lang w:eastAsia="en-GB"/>
              </w:rPr>
            </w:pPr>
            <w:r w:rsidRPr="00CA4154">
              <w:rPr>
                <w:rFonts w:eastAsia="Times New Roman"/>
                <w:i/>
                <w:iCs/>
                <w:color w:val="002060"/>
                <w:lang w:eastAsia="en-GB"/>
              </w:rPr>
              <w:t>Standardised score</w:t>
            </w:r>
            <w:r w:rsidR="00074DA4">
              <w:rPr>
                <w:rStyle w:val="FootnoteReference"/>
                <w:rFonts w:eastAsia="Times New Roman"/>
                <w:i/>
                <w:iCs/>
                <w:color w:val="002060"/>
                <w:lang w:eastAsia="en-GB"/>
              </w:rPr>
              <w:footnoteReference w:id="1"/>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5E2B797" w14:textId="390C4100" w:rsidR="00CA4154" w:rsidRPr="00CA4154" w:rsidRDefault="00CA4154" w:rsidP="00CA4154">
            <w:pPr>
              <w:rPr>
                <w:rFonts w:eastAsia="Times New Roman"/>
                <w:i/>
                <w:iCs/>
                <w:color w:val="002060"/>
                <w:lang w:eastAsia="en-GB"/>
              </w:rPr>
            </w:pPr>
            <w:r w:rsidRPr="00CA4154">
              <w:rPr>
                <w:rFonts w:eastAsia="Times New Roman"/>
                <w:i/>
                <w:iCs/>
                <w:color w:val="002060"/>
                <w:lang w:eastAsia="en-GB"/>
              </w:rPr>
              <w:t>Relative grading</w:t>
            </w:r>
            <w:r w:rsidR="00074DA4">
              <w:rPr>
                <w:rStyle w:val="FootnoteReference"/>
                <w:rFonts w:eastAsia="Times New Roman"/>
                <w:i/>
                <w:iCs/>
                <w:color w:val="002060"/>
                <w:lang w:eastAsia="en-GB"/>
              </w:rPr>
              <w:footnoteReference w:id="2"/>
            </w:r>
          </w:p>
        </w:tc>
      </w:tr>
      <w:tr w:rsidR="00CA4154" w:rsidRPr="00CA4154" w14:paraId="11694F30" w14:textId="77777777" w:rsidTr="00134E83">
        <w:trPr>
          <w:trHeight w:val="590"/>
        </w:trPr>
        <w:tc>
          <w:tcPr>
            <w:tcW w:w="851" w:type="dxa"/>
            <w:tcBorders>
              <w:top w:val="nil"/>
              <w:left w:val="single" w:sz="8" w:space="0" w:color="000000"/>
              <w:bottom w:val="single" w:sz="8" w:space="0" w:color="000000"/>
              <w:right w:val="nil"/>
            </w:tcBorders>
            <w:shd w:val="clear" w:color="auto" w:fill="auto"/>
            <w:vAlign w:val="center"/>
            <w:hideMark/>
          </w:tcPr>
          <w:p w14:paraId="1626699D" w14:textId="77777777" w:rsidR="00CA4154" w:rsidRPr="00CA4154" w:rsidRDefault="00CA4154" w:rsidP="00CA4154">
            <w:pPr>
              <w:jc w:val="right"/>
              <w:rPr>
                <w:rFonts w:eastAsia="Times New Roman"/>
                <w:i/>
                <w:iCs/>
                <w:color w:val="002060"/>
                <w:lang w:eastAsia="en-GB"/>
              </w:rPr>
            </w:pPr>
            <w:r w:rsidRPr="00CA4154">
              <w:rPr>
                <w:rFonts w:eastAsia="Times New Roman"/>
                <w:i/>
                <w:iCs/>
                <w:color w:val="002060"/>
                <w:lang w:eastAsia="en-GB"/>
              </w:rPr>
              <w:t>1</w:t>
            </w:r>
          </w:p>
        </w:tc>
        <w:tc>
          <w:tcPr>
            <w:tcW w:w="4536" w:type="dxa"/>
            <w:tcBorders>
              <w:top w:val="nil"/>
              <w:left w:val="single" w:sz="8" w:space="0" w:color="auto"/>
              <w:bottom w:val="single" w:sz="8" w:space="0" w:color="000000"/>
              <w:right w:val="single" w:sz="8" w:space="0" w:color="000000"/>
            </w:tcBorders>
            <w:shd w:val="clear" w:color="auto" w:fill="auto"/>
            <w:vAlign w:val="center"/>
            <w:hideMark/>
          </w:tcPr>
          <w:p w14:paraId="5AAE5D69" w14:textId="77777777" w:rsidR="00CA4154" w:rsidRPr="00CA4154" w:rsidRDefault="00CA4154" w:rsidP="00CA4154">
            <w:pPr>
              <w:rPr>
                <w:rFonts w:eastAsia="Times New Roman"/>
                <w:i/>
                <w:iCs/>
                <w:color w:val="002060"/>
                <w:lang w:eastAsia="en-GB"/>
              </w:rPr>
            </w:pPr>
            <w:r w:rsidRPr="00CA4154">
              <w:rPr>
                <w:rFonts w:eastAsia="Times New Roman"/>
                <w:i/>
                <w:iCs/>
                <w:color w:val="002060"/>
                <w:lang w:eastAsia="en-GB"/>
              </w:rPr>
              <w:t>Redesigning Collective Travel</w:t>
            </w:r>
          </w:p>
        </w:tc>
        <w:tc>
          <w:tcPr>
            <w:tcW w:w="1701" w:type="dxa"/>
            <w:tcBorders>
              <w:top w:val="nil"/>
              <w:left w:val="nil"/>
              <w:bottom w:val="single" w:sz="8" w:space="0" w:color="000000"/>
              <w:right w:val="nil"/>
            </w:tcBorders>
            <w:shd w:val="clear" w:color="auto" w:fill="auto"/>
            <w:vAlign w:val="center"/>
            <w:hideMark/>
          </w:tcPr>
          <w:p w14:paraId="6E4279E1" w14:textId="77777777" w:rsidR="00CA4154" w:rsidRPr="00CA4154" w:rsidRDefault="00CA4154" w:rsidP="00CA4154">
            <w:pPr>
              <w:jc w:val="right"/>
              <w:rPr>
                <w:rFonts w:eastAsia="Times New Roman"/>
                <w:b/>
                <w:bCs/>
                <w:i/>
                <w:iCs/>
                <w:color w:val="002060"/>
                <w:lang w:eastAsia="en-GB"/>
              </w:rPr>
            </w:pPr>
            <w:r w:rsidRPr="00CA4154">
              <w:rPr>
                <w:rFonts w:eastAsia="Times New Roman"/>
                <w:b/>
                <w:bCs/>
                <w:i/>
                <w:iCs/>
                <w:color w:val="002060"/>
                <w:lang w:eastAsia="en-GB"/>
              </w:rPr>
              <w:t>6%</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074AACCB" w14:textId="77777777" w:rsidR="00CA4154" w:rsidRPr="00CA4154" w:rsidRDefault="00CA4154" w:rsidP="00CA4154">
            <w:pPr>
              <w:jc w:val="center"/>
              <w:rPr>
                <w:rFonts w:eastAsia="Times New Roman"/>
                <w:color w:val="002060"/>
                <w:lang w:eastAsia="en-GB"/>
              </w:rPr>
            </w:pPr>
            <w:r w:rsidRPr="00CA4154">
              <w:rPr>
                <w:rFonts w:eastAsia="Times New Roman"/>
                <w:color w:val="002060"/>
                <w:lang w:eastAsia="en-GB"/>
              </w:rPr>
              <w:t>-0.99</w:t>
            </w:r>
          </w:p>
        </w:tc>
        <w:tc>
          <w:tcPr>
            <w:tcW w:w="1276" w:type="dxa"/>
            <w:tcBorders>
              <w:top w:val="nil"/>
              <w:left w:val="nil"/>
              <w:bottom w:val="single" w:sz="8" w:space="0" w:color="auto"/>
              <w:right w:val="single" w:sz="8" w:space="0" w:color="auto"/>
            </w:tcBorders>
            <w:shd w:val="clear" w:color="auto" w:fill="auto"/>
            <w:noWrap/>
            <w:vAlign w:val="center"/>
            <w:hideMark/>
          </w:tcPr>
          <w:p w14:paraId="56D3AB8E" w14:textId="77777777" w:rsidR="00CA4154" w:rsidRPr="00CA4154" w:rsidRDefault="00CA4154" w:rsidP="00CA4154">
            <w:pPr>
              <w:jc w:val="center"/>
              <w:rPr>
                <w:rFonts w:eastAsia="Times New Roman"/>
                <w:b/>
                <w:color w:val="002060"/>
                <w:lang w:eastAsia="en-GB"/>
              </w:rPr>
            </w:pPr>
            <w:r w:rsidRPr="00CA4154">
              <w:rPr>
                <w:rFonts w:eastAsia="Times New Roman"/>
                <w:b/>
                <w:color w:val="002060"/>
                <w:lang w:eastAsia="en-GB"/>
              </w:rPr>
              <w:t>LOW</w:t>
            </w:r>
          </w:p>
        </w:tc>
      </w:tr>
      <w:tr w:rsidR="00CA4154" w:rsidRPr="00CA4154" w14:paraId="6F0BC151" w14:textId="77777777" w:rsidTr="00134E83">
        <w:trPr>
          <w:trHeight w:val="590"/>
        </w:trPr>
        <w:tc>
          <w:tcPr>
            <w:tcW w:w="851" w:type="dxa"/>
            <w:tcBorders>
              <w:top w:val="nil"/>
              <w:left w:val="single" w:sz="8" w:space="0" w:color="000000"/>
              <w:bottom w:val="single" w:sz="8" w:space="0" w:color="000000"/>
              <w:right w:val="nil"/>
            </w:tcBorders>
            <w:shd w:val="clear" w:color="auto" w:fill="auto"/>
            <w:vAlign w:val="center"/>
            <w:hideMark/>
          </w:tcPr>
          <w:p w14:paraId="100FADCC" w14:textId="77777777" w:rsidR="00CA4154" w:rsidRPr="00CA4154" w:rsidRDefault="00CA4154" w:rsidP="00CA4154">
            <w:pPr>
              <w:jc w:val="right"/>
              <w:rPr>
                <w:rFonts w:eastAsia="Times New Roman"/>
                <w:i/>
                <w:iCs/>
                <w:color w:val="002060"/>
                <w:lang w:eastAsia="en-GB"/>
              </w:rPr>
            </w:pPr>
            <w:r w:rsidRPr="00CA4154">
              <w:rPr>
                <w:rFonts w:eastAsia="Times New Roman"/>
                <w:i/>
                <w:iCs/>
                <w:color w:val="002060"/>
                <w:lang w:eastAsia="en-GB"/>
              </w:rPr>
              <w:t>2</w:t>
            </w:r>
          </w:p>
        </w:tc>
        <w:tc>
          <w:tcPr>
            <w:tcW w:w="4536" w:type="dxa"/>
            <w:tcBorders>
              <w:top w:val="nil"/>
              <w:left w:val="single" w:sz="8" w:space="0" w:color="auto"/>
              <w:bottom w:val="single" w:sz="8" w:space="0" w:color="000000"/>
              <w:right w:val="single" w:sz="8" w:space="0" w:color="000000"/>
            </w:tcBorders>
            <w:shd w:val="clear" w:color="auto" w:fill="auto"/>
            <w:vAlign w:val="center"/>
            <w:hideMark/>
          </w:tcPr>
          <w:p w14:paraId="448B17EB" w14:textId="77777777" w:rsidR="00CA4154" w:rsidRPr="00CA4154" w:rsidRDefault="00CA4154" w:rsidP="00CA4154">
            <w:pPr>
              <w:rPr>
                <w:rFonts w:eastAsia="Times New Roman"/>
                <w:i/>
                <w:iCs/>
                <w:color w:val="002060"/>
                <w:lang w:eastAsia="en-GB"/>
              </w:rPr>
            </w:pPr>
            <w:r w:rsidRPr="00CA4154">
              <w:rPr>
                <w:rFonts w:eastAsia="Times New Roman"/>
                <w:i/>
                <w:iCs/>
                <w:color w:val="002060"/>
                <w:lang w:eastAsia="en-GB"/>
              </w:rPr>
              <w:t>Developing Travel Plans</w:t>
            </w:r>
          </w:p>
        </w:tc>
        <w:tc>
          <w:tcPr>
            <w:tcW w:w="1701" w:type="dxa"/>
            <w:tcBorders>
              <w:top w:val="nil"/>
              <w:left w:val="nil"/>
              <w:bottom w:val="single" w:sz="8" w:space="0" w:color="000000"/>
              <w:right w:val="nil"/>
            </w:tcBorders>
            <w:shd w:val="clear" w:color="auto" w:fill="auto"/>
            <w:vAlign w:val="center"/>
            <w:hideMark/>
          </w:tcPr>
          <w:p w14:paraId="27215DAD" w14:textId="77777777" w:rsidR="00CA4154" w:rsidRPr="00CA4154" w:rsidRDefault="00CA4154" w:rsidP="00CA4154">
            <w:pPr>
              <w:jc w:val="right"/>
              <w:rPr>
                <w:rFonts w:eastAsia="Times New Roman"/>
                <w:b/>
                <w:bCs/>
                <w:i/>
                <w:iCs/>
                <w:color w:val="002060"/>
                <w:lang w:eastAsia="en-GB"/>
              </w:rPr>
            </w:pPr>
            <w:r w:rsidRPr="00CA4154">
              <w:rPr>
                <w:rFonts w:eastAsia="Times New Roman"/>
                <w:b/>
                <w:bCs/>
                <w:i/>
                <w:iCs/>
                <w:color w:val="002060"/>
                <w:lang w:eastAsia="en-GB"/>
              </w:rPr>
              <w:t>19%</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137E61" w14:textId="77777777" w:rsidR="00CA4154" w:rsidRPr="00CA4154" w:rsidRDefault="00CA4154" w:rsidP="00CA4154">
            <w:pPr>
              <w:jc w:val="center"/>
              <w:rPr>
                <w:rFonts w:eastAsia="Times New Roman"/>
                <w:color w:val="002060"/>
                <w:lang w:eastAsia="en-GB"/>
              </w:rPr>
            </w:pPr>
            <w:r w:rsidRPr="00CA4154">
              <w:rPr>
                <w:rFonts w:eastAsia="Times New Roman"/>
                <w:color w:val="002060"/>
                <w:lang w:eastAsia="en-GB"/>
              </w:rPr>
              <w:t>0.20</w:t>
            </w:r>
          </w:p>
        </w:tc>
        <w:tc>
          <w:tcPr>
            <w:tcW w:w="1276" w:type="dxa"/>
            <w:tcBorders>
              <w:top w:val="nil"/>
              <w:left w:val="nil"/>
              <w:bottom w:val="single" w:sz="8" w:space="0" w:color="auto"/>
              <w:right w:val="single" w:sz="8" w:space="0" w:color="auto"/>
            </w:tcBorders>
            <w:shd w:val="clear" w:color="auto" w:fill="auto"/>
            <w:noWrap/>
            <w:vAlign w:val="center"/>
            <w:hideMark/>
          </w:tcPr>
          <w:p w14:paraId="74E4227B" w14:textId="77777777" w:rsidR="00CA4154" w:rsidRPr="00CA4154" w:rsidRDefault="00CA4154" w:rsidP="00CA4154">
            <w:pPr>
              <w:jc w:val="center"/>
              <w:rPr>
                <w:rFonts w:eastAsia="Times New Roman"/>
                <w:b/>
                <w:color w:val="002060"/>
                <w:lang w:eastAsia="en-GB"/>
              </w:rPr>
            </w:pPr>
            <w:r w:rsidRPr="00CA4154">
              <w:rPr>
                <w:rFonts w:eastAsia="Times New Roman"/>
                <w:b/>
                <w:color w:val="002060"/>
                <w:lang w:eastAsia="en-GB"/>
              </w:rPr>
              <w:t>MEDIUM</w:t>
            </w:r>
          </w:p>
        </w:tc>
      </w:tr>
      <w:tr w:rsidR="00CA4154" w:rsidRPr="00CA4154" w14:paraId="616183DD" w14:textId="77777777" w:rsidTr="00134E83">
        <w:trPr>
          <w:trHeight w:val="604"/>
        </w:trPr>
        <w:tc>
          <w:tcPr>
            <w:tcW w:w="851" w:type="dxa"/>
            <w:tcBorders>
              <w:top w:val="nil"/>
              <w:left w:val="single" w:sz="8" w:space="0" w:color="000000"/>
              <w:bottom w:val="single" w:sz="8" w:space="0" w:color="000000"/>
              <w:right w:val="nil"/>
            </w:tcBorders>
            <w:shd w:val="clear" w:color="auto" w:fill="auto"/>
            <w:vAlign w:val="center"/>
            <w:hideMark/>
          </w:tcPr>
          <w:p w14:paraId="31042B5A" w14:textId="77777777" w:rsidR="00CA4154" w:rsidRPr="00CA4154" w:rsidRDefault="00CA4154" w:rsidP="00CA4154">
            <w:pPr>
              <w:jc w:val="right"/>
              <w:rPr>
                <w:rFonts w:eastAsia="Times New Roman"/>
                <w:i/>
                <w:iCs/>
                <w:color w:val="002060"/>
                <w:lang w:eastAsia="en-GB"/>
              </w:rPr>
            </w:pPr>
            <w:r w:rsidRPr="00CA4154">
              <w:rPr>
                <w:rFonts w:eastAsia="Times New Roman"/>
                <w:i/>
                <w:iCs/>
                <w:color w:val="002060"/>
                <w:lang w:eastAsia="en-GB"/>
              </w:rPr>
              <w:t>3</w:t>
            </w:r>
          </w:p>
        </w:tc>
        <w:tc>
          <w:tcPr>
            <w:tcW w:w="4536" w:type="dxa"/>
            <w:tcBorders>
              <w:top w:val="nil"/>
              <w:left w:val="single" w:sz="8" w:space="0" w:color="auto"/>
              <w:bottom w:val="single" w:sz="8" w:space="0" w:color="000000"/>
              <w:right w:val="single" w:sz="8" w:space="0" w:color="000000"/>
            </w:tcBorders>
            <w:shd w:val="clear" w:color="auto" w:fill="auto"/>
            <w:vAlign w:val="center"/>
            <w:hideMark/>
          </w:tcPr>
          <w:p w14:paraId="07FFD6F8" w14:textId="77777777" w:rsidR="00CA4154" w:rsidRPr="00CA4154" w:rsidRDefault="00CA4154" w:rsidP="00CA4154">
            <w:pPr>
              <w:rPr>
                <w:rFonts w:eastAsia="Times New Roman"/>
                <w:i/>
                <w:iCs/>
                <w:color w:val="002060"/>
                <w:lang w:eastAsia="en-GB"/>
              </w:rPr>
            </w:pPr>
            <w:r w:rsidRPr="00CA4154">
              <w:rPr>
                <w:rFonts w:eastAsia="Times New Roman"/>
                <w:i/>
                <w:iCs/>
                <w:color w:val="002060"/>
                <w:lang w:eastAsia="en-GB"/>
              </w:rPr>
              <w:t>Supporting Sound Planning and Decision making</w:t>
            </w:r>
          </w:p>
        </w:tc>
        <w:tc>
          <w:tcPr>
            <w:tcW w:w="1701" w:type="dxa"/>
            <w:tcBorders>
              <w:top w:val="nil"/>
              <w:left w:val="nil"/>
              <w:bottom w:val="single" w:sz="8" w:space="0" w:color="000000"/>
              <w:right w:val="nil"/>
            </w:tcBorders>
            <w:shd w:val="clear" w:color="auto" w:fill="auto"/>
            <w:vAlign w:val="center"/>
            <w:hideMark/>
          </w:tcPr>
          <w:p w14:paraId="7CE68F34" w14:textId="77777777" w:rsidR="00CA4154" w:rsidRPr="00CA4154" w:rsidRDefault="00CA4154" w:rsidP="00CA4154">
            <w:pPr>
              <w:jc w:val="right"/>
              <w:rPr>
                <w:rFonts w:eastAsia="Times New Roman"/>
                <w:b/>
                <w:bCs/>
                <w:i/>
                <w:iCs/>
                <w:color w:val="002060"/>
                <w:lang w:eastAsia="en-GB"/>
              </w:rPr>
            </w:pPr>
            <w:r w:rsidRPr="00CA4154">
              <w:rPr>
                <w:rFonts w:eastAsia="Times New Roman"/>
                <w:b/>
                <w:bCs/>
                <w:i/>
                <w:iCs/>
                <w:color w:val="002060"/>
                <w:lang w:eastAsia="en-GB"/>
              </w:rPr>
              <w:t>6%</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3410B70D" w14:textId="77777777" w:rsidR="00CA4154" w:rsidRPr="00CA4154" w:rsidRDefault="00CA4154" w:rsidP="00CA4154">
            <w:pPr>
              <w:jc w:val="center"/>
              <w:rPr>
                <w:rFonts w:eastAsia="Times New Roman"/>
                <w:color w:val="002060"/>
                <w:lang w:eastAsia="en-GB"/>
              </w:rPr>
            </w:pPr>
            <w:r w:rsidRPr="00CA4154">
              <w:rPr>
                <w:rFonts w:eastAsia="Times New Roman"/>
                <w:color w:val="002060"/>
                <w:lang w:eastAsia="en-GB"/>
              </w:rPr>
              <w:t>-0.99</w:t>
            </w:r>
          </w:p>
        </w:tc>
        <w:tc>
          <w:tcPr>
            <w:tcW w:w="1276" w:type="dxa"/>
            <w:tcBorders>
              <w:top w:val="nil"/>
              <w:left w:val="nil"/>
              <w:bottom w:val="single" w:sz="8" w:space="0" w:color="auto"/>
              <w:right w:val="single" w:sz="8" w:space="0" w:color="auto"/>
            </w:tcBorders>
            <w:shd w:val="clear" w:color="auto" w:fill="auto"/>
            <w:noWrap/>
            <w:vAlign w:val="center"/>
            <w:hideMark/>
          </w:tcPr>
          <w:p w14:paraId="004B3CA0" w14:textId="77777777" w:rsidR="00CA4154" w:rsidRPr="00CA4154" w:rsidRDefault="00CA4154" w:rsidP="00CA4154">
            <w:pPr>
              <w:jc w:val="center"/>
              <w:rPr>
                <w:rFonts w:eastAsia="Times New Roman"/>
                <w:b/>
                <w:color w:val="002060"/>
                <w:lang w:eastAsia="en-GB"/>
              </w:rPr>
            </w:pPr>
            <w:r w:rsidRPr="00CA4154">
              <w:rPr>
                <w:rFonts w:eastAsia="Times New Roman"/>
                <w:b/>
                <w:color w:val="002060"/>
                <w:lang w:eastAsia="en-GB"/>
              </w:rPr>
              <w:t>LOW</w:t>
            </w:r>
          </w:p>
        </w:tc>
      </w:tr>
      <w:tr w:rsidR="00CA4154" w:rsidRPr="00CA4154" w14:paraId="26EE7CFF" w14:textId="77777777" w:rsidTr="00134E83">
        <w:trPr>
          <w:trHeight w:val="556"/>
        </w:trPr>
        <w:tc>
          <w:tcPr>
            <w:tcW w:w="851" w:type="dxa"/>
            <w:tcBorders>
              <w:top w:val="nil"/>
              <w:left w:val="single" w:sz="8" w:space="0" w:color="000000"/>
              <w:bottom w:val="single" w:sz="8" w:space="0" w:color="000000"/>
              <w:right w:val="nil"/>
            </w:tcBorders>
            <w:shd w:val="clear" w:color="auto" w:fill="auto"/>
            <w:vAlign w:val="center"/>
            <w:hideMark/>
          </w:tcPr>
          <w:p w14:paraId="750CA8E6" w14:textId="77777777" w:rsidR="00CA4154" w:rsidRPr="00CA4154" w:rsidRDefault="00CA4154" w:rsidP="00CA4154">
            <w:pPr>
              <w:jc w:val="right"/>
              <w:rPr>
                <w:rFonts w:eastAsia="Times New Roman"/>
                <w:i/>
                <w:iCs/>
                <w:color w:val="002060"/>
                <w:lang w:eastAsia="en-GB"/>
              </w:rPr>
            </w:pPr>
            <w:r w:rsidRPr="00CA4154">
              <w:rPr>
                <w:rFonts w:eastAsia="Times New Roman"/>
                <w:i/>
                <w:iCs/>
                <w:color w:val="002060"/>
                <w:lang w:eastAsia="en-GB"/>
              </w:rPr>
              <w:t>4</w:t>
            </w:r>
          </w:p>
        </w:tc>
        <w:tc>
          <w:tcPr>
            <w:tcW w:w="4536" w:type="dxa"/>
            <w:tcBorders>
              <w:top w:val="nil"/>
              <w:left w:val="single" w:sz="8" w:space="0" w:color="auto"/>
              <w:bottom w:val="single" w:sz="8" w:space="0" w:color="000000"/>
              <w:right w:val="single" w:sz="8" w:space="0" w:color="000000"/>
            </w:tcBorders>
            <w:shd w:val="clear" w:color="auto" w:fill="auto"/>
            <w:vAlign w:val="center"/>
            <w:hideMark/>
          </w:tcPr>
          <w:p w14:paraId="01B87233" w14:textId="77777777" w:rsidR="00CA4154" w:rsidRPr="00CA4154" w:rsidRDefault="00CA4154" w:rsidP="00CA4154">
            <w:pPr>
              <w:rPr>
                <w:rFonts w:eastAsia="Times New Roman"/>
                <w:i/>
                <w:iCs/>
                <w:color w:val="002060"/>
                <w:lang w:eastAsia="en-GB"/>
              </w:rPr>
            </w:pPr>
            <w:r w:rsidRPr="00CA4154">
              <w:rPr>
                <w:rFonts w:eastAsia="Times New Roman"/>
                <w:i/>
                <w:iCs/>
                <w:color w:val="002060"/>
                <w:lang w:eastAsia="en-GB"/>
              </w:rPr>
              <w:t>Developing Dynamic Traffic Management</w:t>
            </w:r>
          </w:p>
        </w:tc>
        <w:tc>
          <w:tcPr>
            <w:tcW w:w="1701" w:type="dxa"/>
            <w:tcBorders>
              <w:top w:val="nil"/>
              <w:left w:val="nil"/>
              <w:bottom w:val="single" w:sz="8" w:space="0" w:color="000000"/>
              <w:right w:val="single" w:sz="8" w:space="0" w:color="000000"/>
            </w:tcBorders>
            <w:shd w:val="clear" w:color="auto" w:fill="auto"/>
            <w:vAlign w:val="center"/>
            <w:hideMark/>
          </w:tcPr>
          <w:p w14:paraId="1C01BEB5" w14:textId="77777777" w:rsidR="00CA4154" w:rsidRPr="00CA4154" w:rsidRDefault="00CA4154" w:rsidP="00CA4154">
            <w:pPr>
              <w:jc w:val="right"/>
              <w:rPr>
                <w:rFonts w:eastAsia="Times New Roman"/>
                <w:b/>
                <w:bCs/>
                <w:i/>
                <w:iCs/>
                <w:color w:val="002060"/>
                <w:lang w:eastAsia="en-GB"/>
              </w:rPr>
            </w:pPr>
            <w:r w:rsidRPr="00CA4154">
              <w:rPr>
                <w:rFonts w:eastAsia="Times New Roman"/>
                <w:b/>
                <w:bCs/>
                <w:i/>
                <w:iCs/>
                <w:color w:val="002060"/>
                <w:lang w:eastAsia="en-GB"/>
              </w:rPr>
              <w:t>11%</w:t>
            </w:r>
          </w:p>
        </w:tc>
        <w:tc>
          <w:tcPr>
            <w:tcW w:w="1417" w:type="dxa"/>
            <w:tcBorders>
              <w:top w:val="nil"/>
              <w:left w:val="nil"/>
              <w:bottom w:val="nil"/>
              <w:right w:val="nil"/>
            </w:tcBorders>
            <w:shd w:val="clear" w:color="auto" w:fill="auto"/>
            <w:noWrap/>
            <w:vAlign w:val="center"/>
            <w:hideMark/>
          </w:tcPr>
          <w:p w14:paraId="09FDF7BB" w14:textId="77777777" w:rsidR="00CA4154" w:rsidRPr="00CA4154" w:rsidRDefault="00CA4154" w:rsidP="00CA4154">
            <w:pPr>
              <w:jc w:val="center"/>
              <w:rPr>
                <w:rFonts w:eastAsia="Times New Roman"/>
                <w:color w:val="002060"/>
                <w:lang w:eastAsia="en-GB"/>
              </w:rPr>
            </w:pPr>
            <w:r w:rsidRPr="00CA4154">
              <w:rPr>
                <w:rFonts w:eastAsia="Times New Roman"/>
                <w:color w:val="002060"/>
                <w:lang w:eastAsia="en-GB"/>
              </w:rPr>
              <w:t>-0.53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158078" w14:textId="77777777" w:rsidR="00CA4154" w:rsidRPr="00CA4154" w:rsidRDefault="00CA4154" w:rsidP="00CA4154">
            <w:pPr>
              <w:jc w:val="center"/>
              <w:rPr>
                <w:rFonts w:eastAsia="Times New Roman"/>
                <w:b/>
                <w:color w:val="002060"/>
                <w:lang w:eastAsia="en-GB"/>
              </w:rPr>
            </w:pPr>
            <w:r w:rsidRPr="00CA4154">
              <w:rPr>
                <w:rFonts w:eastAsia="Times New Roman"/>
                <w:b/>
                <w:color w:val="002060"/>
                <w:lang w:eastAsia="en-GB"/>
              </w:rPr>
              <w:t>LOW</w:t>
            </w:r>
          </w:p>
        </w:tc>
      </w:tr>
      <w:tr w:rsidR="00CA4154" w:rsidRPr="00CA4154" w14:paraId="1861248C" w14:textId="77777777" w:rsidTr="00134E83">
        <w:trPr>
          <w:trHeight w:val="590"/>
        </w:trPr>
        <w:tc>
          <w:tcPr>
            <w:tcW w:w="851" w:type="dxa"/>
            <w:tcBorders>
              <w:top w:val="nil"/>
              <w:left w:val="single" w:sz="8" w:space="0" w:color="000000"/>
              <w:bottom w:val="single" w:sz="8" w:space="0" w:color="000000"/>
              <w:right w:val="nil"/>
            </w:tcBorders>
            <w:shd w:val="clear" w:color="auto" w:fill="auto"/>
            <w:vAlign w:val="center"/>
            <w:hideMark/>
          </w:tcPr>
          <w:p w14:paraId="263E10CA" w14:textId="77777777" w:rsidR="00CA4154" w:rsidRPr="00CA4154" w:rsidRDefault="00CA4154" w:rsidP="00CA4154">
            <w:pPr>
              <w:jc w:val="right"/>
              <w:rPr>
                <w:rFonts w:eastAsia="Times New Roman"/>
                <w:i/>
                <w:iCs/>
                <w:color w:val="002060"/>
                <w:lang w:eastAsia="en-GB"/>
              </w:rPr>
            </w:pPr>
            <w:r w:rsidRPr="00CA4154">
              <w:rPr>
                <w:rFonts w:eastAsia="Times New Roman"/>
                <w:i/>
                <w:iCs/>
                <w:color w:val="002060"/>
                <w:lang w:eastAsia="en-GB"/>
              </w:rPr>
              <w:t>5</w:t>
            </w:r>
          </w:p>
        </w:tc>
        <w:tc>
          <w:tcPr>
            <w:tcW w:w="4536" w:type="dxa"/>
            <w:tcBorders>
              <w:top w:val="nil"/>
              <w:left w:val="single" w:sz="8" w:space="0" w:color="auto"/>
              <w:bottom w:val="single" w:sz="8" w:space="0" w:color="000000"/>
              <w:right w:val="single" w:sz="8" w:space="0" w:color="000000"/>
            </w:tcBorders>
            <w:shd w:val="clear" w:color="auto" w:fill="auto"/>
            <w:vAlign w:val="center"/>
            <w:hideMark/>
          </w:tcPr>
          <w:p w14:paraId="3616DA2B" w14:textId="77777777" w:rsidR="00CA4154" w:rsidRPr="00CA4154" w:rsidRDefault="00CA4154" w:rsidP="00CA4154">
            <w:pPr>
              <w:rPr>
                <w:rFonts w:eastAsia="Times New Roman"/>
                <w:i/>
                <w:iCs/>
                <w:color w:val="002060"/>
                <w:lang w:eastAsia="en-GB"/>
              </w:rPr>
            </w:pPr>
            <w:r w:rsidRPr="00CA4154">
              <w:rPr>
                <w:rFonts w:eastAsia="Times New Roman"/>
                <w:i/>
                <w:iCs/>
                <w:color w:val="002060"/>
                <w:lang w:eastAsia="en-GB"/>
              </w:rPr>
              <w:t>Enhancing Demand Management</w:t>
            </w:r>
          </w:p>
        </w:tc>
        <w:tc>
          <w:tcPr>
            <w:tcW w:w="1701" w:type="dxa"/>
            <w:tcBorders>
              <w:top w:val="nil"/>
              <w:left w:val="nil"/>
              <w:bottom w:val="single" w:sz="8" w:space="0" w:color="000000"/>
              <w:right w:val="nil"/>
            </w:tcBorders>
            <w:shd w:val="clear" w:color="auto" w:fill="auto"/>
            <w:vAlign w:val="center"/>
            <w:hideMark/>
          </w:tcPr>
          <w:p w14:paraId="25BC73B9" w14:textId="77777777" w:rsidR="00CA4154" w:rsidRPr="00CA4154" w:rsidRDefault="00CA4154" w:rsidP="00CA4154">
            <w:pPr>
              <w:jc w:val="right"/>
              <w:rPr>
                <w:rFonts w:eastAsia="Times New Roman"/>
                <w:b/>
                <w:bCs/>
                <w:i/>
                <w:iCs/>
                <w:color w:val="002060"/>
                <w:lang w:eastAsia="en-GB"/>
              </w:rPr>
            </w:pPr>
            <w:r w:rsidRPr="00CA4154">
              <w:rPr>
                <w:rFonts w:eastAsia="Times New Roman"/>
                <w:b/>
                <w:bCs/>
                <w:i/>
                <w:iCs/>
                <w:color w:val="002060"/>
                <w:lang w:eastAsia="en-GB"/>
              </w:rPr>
              <w:t>29%</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B03A5A" w14:textId="77777777" w:rsidR="00CA4154" w:rsidRPr="00CA4154" w:rsidRDefault="00CA4154" w:rsidP="00CA4154">
            <w:pPr>
              <w:jc w:val="center"/>
              <w:rPr>
                <w:rFonts w:eastAsia="Times New Roman"/>
                <w:color w:val="002060"/>
                <w:lang w:eastAsia="en-GB"/>
              </w:rPr>
            </w:pPr>
            <w:r w:rsidRPr="00CA4154">
              <w:rPr>
                <w:rFonts w:eastAsia="Times New Roman"/>
                <w:color w:val="002060"/>
                <w:lang w:eastAsia="en-GB"/>
              </w:rPr>
              <w:t>1.12</w:t>
            </w:r>
          </w:p>
        </w:tc>
        <w:tc>
          <w:tcPr>
            <w:tcW w:w="1276" w:type="dxa"/>
            <w:tcBorders>
              <w:top w:val="nil"/>
              <w:left w:val="nil"/>
              <w:bottom w:val="single" w:sz="8" w:space="0" w:color="auto"/>
              <w:right w:val="single" w:sz="8" w:space="0" w:color="auto"/>
            </w:tcBorders>
            <w:shd w:val="clear" w:color="auto" w:fill="auto"/>
            <w:noWrap/>
            <w:vAlign w:val="center"/>
            <w:hideMark/>
          </w:tcPr>
          <w:p w14:paraId="08BB66BD" w14:textId="77777777" w:rsidR="00CA4154" w:rsidRPr="00CA4154" w:rsidRDefault="00CA4154" w:rsidP="00CA4154">
            <w:pPr>
              <w:jc w:val="center"/>
              <w:rPr>
                <w:rFonts w:eastAsia="Times New Roman"/>
                <w:b/>
                <w:color w:val="002060"/>
                <w:lang w:eastAsia="en-GB"/>
              </w:rPr>
            </w:pPr>
            <w:r w:rsidRPr="00CA4154">
              <w:rPr>
                <w:rFonts w:eastAsia="Times New Roman"/>
                <w:b/>
                <w:color w:val="002060"/>
                <w:lang w:eastAsia="en-GB"/>
              </w:rPr>
              <w:t>HIGH</w:t>
            </w:r>
          </w:p>
        </w:tc>
      </w:tr>
      <w:tr w:rsidR="00CA4154" w:rsidRPr="00CA4154" w14:paraId="1299D17E" w14:textId="77777777" w:rsidTr="00134E83">
        <w:trPr>
          <w:trHeight w:val="590"/>
        </w:trPr>
        <w:tc>
          <w:tcPr>
            <w:tcW w:w="851" w:type="dxa"/>
            <w:tcBorders>
              <w:top w:val="nil"/>
              <w:left w:val="single" w:sz="8" w:space="0" w:color="000000"/>
              <w:bottom w:val="single" w:sz="8" w:space="0" w:color="000000"/>
              <w:right w:val="nil"/>
            </w:tcBorders>
            <w:shd w:val="clear" w:color="auto" w:fill="auto"/>
            <w:vAlign w:val="center"/>
            <w:hideMark/>
          </w:tcPr>
          <w:p w14:paraId="61C3D810" w14:textId="77777777" w:rsidR="00CA4154" w:rsidRPr="00CA4154" w:rsidRDefault="00CA4154" w:rsidP="00CA4154">
            <w:pPr>
              <w:jc w:val="right"/>
              <w:rPr>
                <w:rFonts w:eastAsia="Times New Roman"/>
                <w:i/>
                <w:iCs/>
                <w:color w:val="002060"/>
                <w:lang w:eastAsia="en-GB"/>
              </w:rPr>
            </w:pPr>
            <w:r w:rsidRPr="00CA4154">
              <w:rPr>
                <w:rFonts w:eastAsia="Times New Roman"/>
                <w:i/>
                <w:iCs/>
                <w:color w:val="002060"/>
                <w:lang w:eastAsia="en-GB"/>
              </w:rPr>
              <w:t>6</w:t>
            </w:r>
          </w:p>
        </w:tc>
        <w:tc>
          <w:tcPr>
            <w:tcW w:w="4536" w:type="dxa"/>
            <w:tcBorders>
              <w:top w:val="nil"/>
              <w:left w:val="single" w:sz="8" w:space="0" w:color="auto"/>
              <w:bottom w:val="single" w:sz="8" w:space="0" w:color="auto"/>
              <w:right w:val="single" w:sz="8" w:space="0" w:color="000000"/>
            </w:tcBorders>
            <w:shd w:val="clear" w:color="auto" w:fill="auto"/>
            <w:vAlign w:val="center"/>
            <w:hideMark/>
          </w:tcPr>
          <w:p w14:paraId="3144C969" w14:textId="77777777" w:rsidR="00CA4154" w:rsidRPr="00CA4154" w:rsidRDefault="00CA4154" w:rsidP="00CA4154">
            <w:pPr>
              <w:rPr>
                <w:rFonts w:eastAsia="Times New Roman"/>
                <w:i/>
                <w:iCs/>
                <w:color w:val="002060"/>
                <w:lang w:eastAsia="en-GB"/>
              </w:rPr>
            </w:pPr>
            <w:r w:rsidRPr="00CA4154">
              <w:rPr>
                <w:rFonts w:eastAsia="Times New Roman"/>
                <w:i/>
                <w:iCs/>
                <w:color w:val="002060"/>
                <w:lang w:eastAsia="en-GB"/>
              </w:rPr>
              <w:t>External Trends/Factors</w:t>
            </w:r>
          </w:p>
        </w:tc>
        <w:tc>
          <w:tcPr>
            <w:tcW w:w="1701" w:type="dxa"/>
            <w:tcBorders>
              <w:top w:val="nil"/>
              <w:left w:val="nil"/>
              <w:bottom w:val="single" w:sz="8" w:space="0" w:color="auto"/>
              <w:right w:val="nil"/>
            </w:tcBorders>
            <w:shd w:val="clear" w:color="auto" w:fill="auto"/>
            <w:vAlign w:val="center"/>
            <w:hideMark/>
          </w:tcPr>
          <w:p w14:paraId="36EF94B1" w14:textId="77777777" w:rsidR="00CA4154" w:rsidRPr="00CA4154" w:rsidRDefault="00CA4154" w:rsidP="00CA4154">
            <w:pPr>
              <w:jc w:val="right"/>
              <w:rPr>
                <w:rFonts w:eastAsia="Times New Roman"/>
                <w:b/>
                <w:bCs/>
                <w:i/>
                <w:iCs/>
                <w:color w:val="002060"/>
                <w:lang w:eastAsia="en-GB"/>
              </w:rPr>
            </w:pPr>
            <w:r w:rsidRPr="00CA4154">
              <w:rPr>
                <w:rFonts w:eastAsia="Times New Roman"/>
                <w:b/>
                <w:bCs/>
                <w:i/>
                <w:iCs/>
                <w:color w:val="002060"/>
                <w:lang w:eastAsia="en-GB"/>
              </w:rPr>
              <w:t>30%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20281216" w14:textId="77777777" w:rsidR="00CA4154" w:rsidRPr="00CA4154" w:rsidRDefault="00CA4154" w:rsidP="00CA4154">
            <w:pPr>
              <w:jc w:val="center"/>
              <w:rPr>
                <w:rFonts w:eastAsia="Times New Roman"/>
                <w:color w:val="002060"/>
                <w:lang w:eastAsia="en-GB"/>
              </w:rPr>
            </w:pPr>
            <w:r w:rsidRPr="00CA4154">
              <w:rPr>
                <w:rFonts w:eastAsia="Times New Roman"/>
                <w:color w:val="002060"/>
                <w:lang w:eastAsia="en-GB"/>
              </w:rPr>
              <w:t>1.21</w:t>
            </w:r>
          </w:p>
        </w:tc>
        <w:tc>
          <w:tcPr>
            <w:tcW w:w="1276" w:type="dxa"/>
            <w:tcBorders>
              <w:top w:val="nil"/>
              <w:left w:val="nil"/>
              <w:bottom w:val="single" w:sz="8" w:space="0" w:color="auto"/>
              <w:right w:val="single" w:sz="8" w:space="0" w:color="auto"/>
            </w:tcBorders>
            <w:shd w:val="clear" w:color="auto" w:fill="auto"/>
            <w:noWrap/>
            <w:vAlign w:val="center"/>
            <w:hideMark/>
          </w:tcPr>
          <w:p w14:paraId="3C4A89EB" w14:textId="77777777" w:rsidR="00CA4154" w:rsidRPr="00CA4154" w:rsidRDefault="00CA4154" w:rsidP="00CA4154">
            <w:pPr>
              <w:jc w:val="center"/>
              <w:rPr>
                <w:rFonts w:eastAsia="Times New Roman"/>
                <w:b/>
                <w:color w:val="002060"/>
                <w:lang w:eastAsia="en-GB"/>
              </w:rPr>
            </w:pPr>
            <w:r w:rsidRPr="00CA4154">
              <w:rPr>
                <w:rFonts w:eastAsia="Times New Roman"/>
                <w:b/>
                <w:color w:val="002060"/>
                <w:lang w:eastAsia="en-GB"/>
              </w:rPr>
              <w:t>HIGH</w:t>
            </w:r>
          </w:p>
        </w:tc>
      </w:tr>
    </w:tbl>
    <w:p w14:paraId="6BC692E0" w14:textId="3BFD8E2A" w:rsidR="00CA4154" w:rsidRDefault="00CA4154" w:rsidP="00FE616C">
      <w:pPr>
        <w:rPr>
          <w:i/>
          <w:color w:val="002060"/>
        </w:rPr>
      </w:pPr>
    </w:p>
    <w:p w14:paraId="0943C597" w14:textId="07FFEDA7" w:rsidR="00CA4154" w:rsidRDefault="00CA4154" w:rsidP="00FE616C">
      <w:pPr>
        <w:rPr>
          <w:i/>
          <w:color w:val="002060"/>
        </w:rPr>
      </w:pPr>
    </w:p>
    <w:p w14:paraId="004CD133" w14:textId="1E02477A" w:rsidR="00CA4154" w:rsidRDefault="00CA4154" w:rsidP="00FE616C">
      <w:pPr>
        <w:rPr>
          <w:i/>
          <w:color w:val="002060"/>
        </w:rPr>
      </w:pPr>
    </w:p>
    <w:p w14:paraId="587CE4C5" w14:textId="4A612C70" w:rsidR="00CA4154" w:rsidRDefault="00CA4154" w:rsidP="00FE616C">
      <w:pPr>
        <w:rPr>
          <w:i/>
          <w:color w:val="002060"/>
        </w:rPr>
      </w:pPr>
    </w:p>
    <w:p w14:paraId="0CF29A7C" w14:textId="77777777" w:rsidR="00CA4154" w:rsidRDefault="00CA4154" w:rsidP="00FE616C">
      <w:pPr>
        <w:rPr>
          <w:i/>
          <w:color w:val="002060"/>
        </w:rPr>
      </w:pPr>
    </w:p>
    <w:p w14:paraId="04D9EEC9" w14:textId="37AA3910" w:rsidR="0087006F" w:rsidRDefault="0087006F" w:rsidP="00FE616C">
      <w:pPr>
        <w:rPr>
          <w:i/>
          <w:color w:val="002060"/>
        </w:rPr>
      </w:pPr>
    </w:p>
    <w:p w14:paraId="195241F4" w14:textId="5F54FA4E" w:rsidR="004448E8" w:rsidRPr="008223AD" w:rsidRDefault="008223AD" w:rsidP="00FE616C">
      <w:pPr>
        <w:rPr>
          <w:i/>
          <w:color w:val="C00000"/>
        </w:rPr>
      </w:pPr>
      <w:r w:rsidRPr="008223AD">
        <w:rPr>
          <w:i/>
          <w:color w:val="C00000"/>
        </w:rPr>
        <w:t xml:space="preserve">Please copy the initial pairwise comparison tables (example in Table </w:t>
      </w:r>
      <w:r w:rsidR="0085750E">
        <w:rPr>
          <w:i/>
          <w:color w:val="C00000"/>
        </w:rPr>
        <w:t>6</w:t>
      </w:r>
      <w:r w:rsidRPr="008223AD">
        <w:rPr>
          <w:i/>
          <w:color w:val="C00000"/>
        </w:rPr>
        <w:t xml:space="preserve">) and quantified indications tables (example in Table </w:t>
      </w:r>
      <w:r w:rsidR="0085750E">
        <w:rPr>
          <w:i/>
          <w:color w:val="C00000"/>
        </w:rPr>
        <w:t>7</w:t>
      </w:r>
      <w:r w:rsidRPr="008223AD">
        <w:rPr>
          <w:i/>
          <w:color w:val="C00000"/>
        </w:rPr>
        <w:t xml:space="preserve">) from your </w:t>
      </w:r>
      <w:r>
        <w:rPr>
          <w:i/>
          <w:color w:val="C00000"/>
        </w:rPr>
        <w:t>S</w:t>
      </w:r>
      <w:r w:rsidRPr="008223AD">
        <w:rPr>
          <w:i/>
          <w:color w:val="C00000"/>
        </w:rPr>
        <w:t xml:space="preserve">trategic Assessment Tool for the strategic objectives/KPIs you have chosen to assess.  </w:t>
      </w:r>
    </w:p>
    <w:p w14:paraId="6B04FB00" w14:textId="7C188C7C" w:rsidR="004448E8" w:rsidRDefault="004448E8" w:rsidP="00FE616C">
      <w:pPr>
        <w:rPr>
          <w:i/>
          <w:color w:val="002060"/>
        </w:rPr>
      </w:pPr>
    </w:p>
    <w:p w14:paraId="54D27405" w14:textId="28B9D123" w:rsidR="002F3CE7" w:rsidRDefault="002F3CE7" w:rsidP="00FE616C">
      <w:pPr>
        <w:rPr>
          <w:i/>
          <w:color w:val="002060"/>
        </w:rPr>
      </w:pPr>
    </w:p>
    <w:p w14:paraId="6AAB2E83" w14:textId="4424479C" w:rsidR="008223AD" w:rsidRDefault="008223AD" w:rsidP="00FE616C">
      <w:pPr>
        <w:rPr>
          <w:i/>
          <w:color w:val="002060"/>
        </w:rPr>
      </w:pPr>
    </w:p>
    <w:p w14:paraId="3EDBF45A" w14:textId="59429025" w:rsidR="008223AD" w:rsidRDefault="008223AD" w:rsidP="00FE616C">
      <w:pPr>
        <w:rPr>
          <w:i/>
          <w:color w:val="C00000"/>
        </w:rPr>
      </w:pPr>
      <w:r w:rsidRPr="008223AD">
        <w:rPr>
          <w:i/>
          <w:color w:val="C00000"/>
        </w:rPr>
        <w:t>After workshop 2</w:t>
      </w:r>
      <w:r w:rsidR="00836803">
        <w:rPr>
          <w:i/>
          <w:color w:val="C00000"/>
        </w:rPr>
        <w:t xml:space="preserve"> </w:t>
      </w:r>
      <w:r w:rsidR="00836803" w:rsidRPr="00836803">
        <w:rPr>
          <w:i/>
          <w:color w:val="C00000"/>
        </w:rPr>
        <w:t>(PORTIS measure influence</w:t>
      </w:r>
      <w:r w:rsidR="00836803">
        <w:rPr>
          <w:i/>
          <w:color w:val="C00000"/>
        </w:rPr>
        <w:t xml:space="preserve"> workshop</w:t>
      </w:r>
      <w:r w:rsidR="00836803" w:rsidRPr="00836803">
        <w:rPr>
          <w:i/>
          <w:color w:val="C00000"/>
        </w:rPr>
        <w:t>)</w:t>
      </w:r>
      <w:r w:rsidRPr="008223AD">
        <w:rPr>
          <w:i/>
          <w:color w:val="C00000"/>
        </w:rPr>
        <w:t xml:space="preserve"> has been held please confirm who has undertaken the re-assessment using the strategic level assessment tool and copy the final pairwise comparison tables (example in Table </w:t>
      </w:r>
      <w:r w:rsidR="0085750E">
        <w:rPr>
          <w:i/>
          <w:color w:val="C00000"/>
        </w:rPr>
        <w:t>6</w:t>
      </w:r>
      <w:r w:rsidRPr="008223AD">
        <w:rPr>
          <w:i/>
          <w:color w:val="C00000"/>
        </w:rPr>
        <w:t>) and quantified indications</w:t>
      </w:r>
      <w:r w:rsidR="00836803">
        <w:rPr>
          <w:i/>
          <w:color w:val="C00000"/>
        </w:rPr>
        <w:t>/relative grading</w:t>
      </w:r>
      <w:r w:rsidRPr="008223AD">
        <w:rPr>
          <w:i/>
          <w:color w:val="C00000"/>
        </w:rPr>
        <w:t xml:space="preserve"> tables (example in Table </w:t>
      </w:r>
      <w:r w:rsidR="0085750E">
        <w:rPr>
          <w:i/>
          <w:color w:val="C00000"/>
        </w:rPr>
        <w:t>8</w:t>
      </w:r>
      <w:r w:rsidRPr="008223AD">
        <w:rPr>
          <w:i/>
          <w:color w:val="C00000"/>
        </w:rPr>
        <w:t xml:space="preserve">) from your </w:t>
      </w:r>
      <w:r>
        <w:rPr>
          <w:i/>
          <w:color w:val="C00000"/>
        </w:rPr>
        <w:t>S</w:t>
      </w:r>
      <w:r w:rsidRPr="008223AD">
        <w:rPr>
          <w:i/>
          <w:color w:val="C00000"/>
        </w:rPr>
        <w:t>trategic Assessment Tool</w:t>
      </w:r>
      <w:r>
        <w:rPr>
          <w:i/>
          <w:color w:val="C00000"/>
        </w:rPr>
        <w:t>.</w:t>
      </w:r>
    </w:p>
    <w:p w14:paraId="398B1281" w14:textId="2751BF00" w:rsidR="008223AD" w:rsidRDefault="008223AD" w:rsidP="00FE616C">
      <w:pPr>
        <w:rPr>
          <w:i/>
          <w:color w:val="C00000"/>
        </w:rPr>
      </w:pPr>
    </w:p>
    <w:p w14:paraId="06191834" w14:textId="77777777" w:rsidR="008223AD" w:rsidRDefault="008223AD" w:rsidP="00FE616C">
      <w:pPr>
        <w:rPr>
          <w:i/>
          <w:color w:val="002060"/>
        </w:rPr>
      </w:pPr>
    </w:p>
    <w:p w14:paraId="48F2A4AD" w14:textId="1FA458AA" w:rsidR="002F3CE7" w:rsidRDefault="002F3CE7" w:rsidP="00FE616C">
      <w:pPr>
        <w:rPr>
          <w:i/>
          <w:color w:val="002060"/>
        </w:rPr>
      </w:pPr>
    </w:p>
    <w:p w14:paraId="7EEA4719" w14:textId="109EF14D" w:rsidR="002F3CE7" w:rsidRPr="008223AD" w:rsidRDefault="008223AD" w:rsidP="00FE616C">
      <w:pPr>
        <w:rPr>
          <w:i/>
          <w:color w:val="C00000"/>
        </w:rPr>
      </w:pPr>
      <w:r w:rsidRPr="008223AD">
        <w:rPr>
          <w:i/>
          <w:color w:val="C00000"/>
        </w:rPr>
        <w:t xml:space="preserve">Please also report on the outcome of discussions around suitability of results and differences in results between different experts.  </w:t>
      </w:r>
    </w:p>
    <w:p w14:paraId="55A0F9E7" w14:textId="77777777" w:rsidR="00B66A3D" w:rsidRPr="008223AD" w:rsidRDefault="00B66A3D" w:rsidP="00FE616C">
      <w:pPr>
        <w:rPr>
          <w:i/>
          <w:color w:val="C00000"/>
        </w:rPr>
      </w:pPr>
    </w:p>
    <w:p w14:paraId="1BA0027D" w14:textId="77777777" w:rsidR="00B66A3D" w:rsidRDefault="00B66A3D" w:rsidP="00FE616C">
      <w:pPr>
        <w:rPr>
          <w:i/>
          <w:color w:val="002060"/>
        </w:rPr>
      </w:pPr>
    </w:p>
    <w:p w14:paraId="499D4631" w14:textId="77777777" w:rsidR="001B5DA4" w:rsidRDefault="001B5DA4" w:rsidP="00FE616C">
      <w:pPr>
        <w:rPr>
          <w:i/>
          <w:color w:val="002060"/>
        </w:rPr>
      </w:pPr>
    </w:p>
    <w:p w14:paraId="14022738" w14:textId="1D68FCB2" w:rsidR="003C23E4" w:rsidRDefault="003C23E4">
      <w:pPr>
        <w:spacing w:after="160" w:line="259" w:lineRule="auto"/>
        <w:rPr>
          <w:i/>
          <w:color w:val="002060"/>
        </w:rPr>
      </w:pPr>
      <w:r>
        <w:rPr>
          <w:i/>
          <w:color w:val="002060"/>
        </w:rPr>
        <w:br w:type="page"/>
      </w:r>
    </w:p>
    <w:p w14:paraId="5FB2EC70" w14:textId="77777777" w:rsidR="001B5DA4" w:rsidRDefault="001B5DA4" w:rsidP="00FE616C">
      <w:pPr>
        <w:rPr>
          <w:i/>
          <w:color w:val="002060"/>
        </w:rPr>
      </w:pPr>
    </w:p>
    <w:p w14:paraId="31A747C4" w14:textId="77777777" w:rsidR="001B5DA4" w:rsidRDefault="00255A25" w:rsidP="004F5EAE">
      <w:pPr>
        <w:pStyle w:val="Heading1"/>
        <w:numPr>
          <w:ilvl w:val="0"/>
          <w:numId w:val="10"/>
        </w:numPr>
      </w:pPr>
      <w:r>
        <w:t>Critical assessment and conclusions</w:t>
      </w:r>
    </w:p>
    <w:p w14:paraId="7978FB6C" w14:textId="77777777" w:rsidR="001B5DA4" w:rsidRDefault="001B5DA4" w:rsidP="00FE616C">
      <w:pPr>
        <w:rPr>
          <w:i/>
          <w:color w:val="002060"/>
        </w:rPr>
      </w:pPr>
    </w:p>
    <w:p w14:paraId="31525A8B" w14:textId="77777777" w:rsidR="001B5DA4" w:rsidRDefault="001B5DA4" w:rsidP="00FE616C">
      <w:pPr>
        <w:rPr>
          <w:i/>
          <w:color w:val="002060"/>
        </w:rPr>
      </w:pPr>
    </w:p>
    <w:p w14:paraId="04E117DF" w14:textId="71C149D7" w:rsidR="000555AD" w:rsidRDefault="00312697" w:rsidP="000555AD">
      <w:pPr>
        <w:rPr>
          <w:i/>
          <w:color w:val="002060"/>
        </w:rPr>
      </w:pPr>
      <w:r>
        <w:rPr>
          <w:i/>
          <w:color w:val="002060"/>
        </w:rPr>
        <w:t xml:space="preserve">This section incorporates the crucial elements and outcomes from the process evaluation undertaken for each of the individual measures to assess the impact that different </w:t>
      </w:r>
      <w:r w:rsidR="000555AD">
        <w:rPr>
          <w:i/>
          <w:color w:val="002060"/>
        </w:rPr>
        <w:t xml:space="preserve">aspects of the design, implementation and delivery of the measures have had on the results obtained for the city level evaluation. </w:t>
      </w:r>
    </w:p>
    <w:p w14:paraId="1E7EC05F" w14:textId="63578782" w:rsidR="001B5DA4" w:rsidRDefault="001B5DA4" w:rsidP="00FE616C">
      <w:pPr>
        <w:rPr>
          <w:i/>
          <w:color w:val="002060"/>
        </w:rPr>
      </w:pPr>
    </w:p>
    <w:p w14:paraId="7FA6B322" w14:textId="79694D1A" w:rsidR="001B5DA4" w:rsidRDefault="000555AD" w:rsidP="00FE616C">
      <w:pPr>
        <w:rPr>
          <w:i/>
          <w:color w:val="002060"/>
        </w:rPr>
      </w:pPr>
      <w:r>
        <w:rPr>
          <w:i/>
          <w:color w:val="002060"/>
        </w:rPr>
        <w:t xml:space="preserve">In addition, major external elements, such as policy decisions, events, projects, economic circumstances should also be considered in terms of their impact on the city level evaluation results obtained. </w:t>
      </w:r>
    </w:p>
    <w:p w14:paraId="39330927" w14:textId="77777777" w:rsidR="001B5DA4" w:rsidRDefault="001B5DA4" w:rsidP="00FE616C">
      <w:pPr>
        <w:rPr>
          <w:i/>
          <w:color w:val="002060"/>
        </w:rPr>
      </w:pPr>
    </w:p>
    <w:p w14:paraId="783D9EEF" w14:textId="77777777" w:rsidR="00FF3096" w:rsidRDefault="00DF55FD" w:rsidP="000555AD">
      <w:pPr>
        <w:spacing w:after="120"/>
        <w:rPr>
          <w:i/>
          <w:color w:val="002060"/>
        </w:rPr>
      </w:pPr>
      <w:r>
        <w:rPr>
          <w:i/>
          <w:color w:val="002060"/>
        </w:rPr>
        <w:t xml:space="preserve">Table </w:t>
      </w:r>
      <w:r w:rsidR="0085750E">
        <w:rPr>
          <w:i/>
          <w:color w:val="002060"/>
        </w:rPr>
        <w:t>9</w:t>
      </w:r>
      <w:r>
        <w:rPr>
          <w:i/>
          <w:color w:val="002060"/>
        </w:rPr>
        <w:t xml:space="preserve"> lists some key factors which are important when p</w:t>
      </w:r>
      <w:r w:rsidR="002D046D">
        <w:rPr>
          <w:i/>
          <w:color w:val="002060"/>
        </w:rPr>
        <w:t xml:space="preserve">utting the </w:t>
      </w:r>
      <w:r w:rsidR="000555AD">
        <w:rPr>
          <w:i/>
          <w:color w:val="002060"/>
        </w:rPr>
        <w:t xml:space="preserve">city-level </w:t>
      </w:r>
      <w:r w:rsidR="002D046D">
        <w:rPr>
          <w:i/>
          <w:color w:val="002060"/>
        </w:rPr>
        <w:t>results into context</w:t>
      </w:r>
      <w:r>
        <w:rPr>
          <w:i/>
          <w:color w:val="002060"/>
        </w:rPr>
        <w:t>. For each city level indicator identified in Table</w:t>
      </w:r>
      <w:r w:rsidR="0085750E">
        <w:rPr>
          <w:i/>
          <w:color w:val="002060"/>
        </w:rPr>
        <w:t xml:space="preserve">s 1 and </w:t>
      </w:r>
      <w:r>
        <w:rPr>
          <w:i/>
          <w:color w:val="002060"/>
        </w:rPr>
        <w:t>2, please provide as much detail as possible to answer the questions (information to be primarily</w:t>
      </w:r>
      <w:r w:rsidR="00FF3096">
        <w:rPr>
          <w:i/>
          <w:color w:val="002060"/>
        </w:rPr>
        <w:t xml:space="preserve"> collated from the measure level process evaluation and workshop activities undertaken in Section 3). </w:t>
      </w:r>
    </w:p>
    <w:p w14:paraId="476CB00E" w14:textId="60497C7B" w:rsidR="00C946D7" w:rsidRDefault="00DF55FD" w:rsidP="00C27909">
      <w:pPr>
        <w:tabs>
          <w:tab w:val="left" w:pos="6520"/>
        </w:tabs>
        <w:spacing w:after="120"/>
        <w:rPr>
          <w:i/>
          <w:color w:val="002060"/>
        </w:rPr>
      </w:pPr>
      <w:r>
        <w:rPr>
          <w:i/>
          <w:color w:val="002060"/>
        </w:rPr>
        <w:t xml:space="preserve"> </w:t>
      </w:r>
      <w:r w:rsidR="00C27909">
        <w:rPr>
          <w:i/>
          <w:color w:val="002060"/>
        </w:rPr>
        <w:tab/>
      </w:r>
    </w:p>
    <w:p w14:paraId="4940B63C" w14:textId="6F072A36" w:rsidR="00C946D7" w:rsidRPr="00FF3096" w:rsidRDefault="00FF3096" w:rsidP="000555AD">
      <w:pPr>
        <w:spacing w:after="120"/>
        <w:rPr>
          <w:b/>
          <w:color w:val="002060"/>
        </w:rPr>
      </w:pPr>
      <w:r w:rsidRPr="00FF3096">
        <w:rPr>
          <w:b/>
          <w:color w:val="002060"/>
        </w:rPr>
        <w:t xml:space="preserve">Table 9: Critical assessment of factors influencing city level results   </w:t>
      </w:r>
    </w:p>
    <w:p w14:paraId="00EB4F55" w14:textId="77777777" w:rsidR="00FF3096" w:rsidRDefault="00FF3096" w:rsidP="000555AD">
      <w:pPr>
        <w:spacing w:after="120"/>
        <w:rPr>
          <w:i/>
          <w:color w:val="002060"/>
        </w:rPr>
      </w:pPr>
    </w:p>
    <w:tbl>
      <w:tblPr>
        <w:tblStyle w:val="TableGrid"/>
        <w:tblW w:w="0" w:type="auto"/>
        <w:tblLook w:val="04A0" w:firstRow="1" w:lastRow="0" w:firstColumn="1" w:lastColumn="0" w:noHBand="0" w:noVBand="1"/>
      </w:tblPr>
      <w:tblGrid>
        <w:gridCol w:w="4508"/>
        <w:gridCol w:w="4508"/>
      </w:tblGrid>
      <w:tr w:rsidR="00FF3096" w14:paraId="42B9DE28" w14:textId="77777777" w:rsidTr="00A34615">
        <w:tc>
          <w:tcPr>
            <w:tcW w:w="9016" w:type="dxa"/>
            <w:gridSpan w:val="2"/>
          </w:tcPr>
          <w:p w14:paraId="49EA75E6" w14:textId="37E5FE08" w:rsidR="00FF3096" w:rsidRPr="00FF3096" w:rsidRDefault="00FF3096" w:rsidP="00FF3096">
            <w:pPr>
              <w:spacing w:after="120"/>
              <w:jc w:val="center"/>
              <w:rPr>
                <w:b/>
                <w:i/>
                <w:color w:val="002060"/>
              </w:rPr>
            </w:pPr>
            <w:r w:rsidRPr="00FF3096">
              <w:rPr>
                <w:b/>
                <w:i/>
                <w:color w:val="002060"/>
              </w:rPr>
              <w:t xml:space="preserve">Table to be </w:t>
            </w:r>
            <w:r>
              <w:rPr>
                <w:b/>
                <w:i/>
                <w:color w:val="002060"/>
              </w:rPr>
              <w:t xml:space="preserve">copied and </w:t>
            </w:r>
            <w:r w:rsidRPr="00FF3096">
              <w:rPr>
                <w:b/>
                <w:i/>
                <w:color w:val="002060"/>
              </w:rPr>
              <w:t>completed for each city level indicator identified in Section 2</w:t>
            </w:r>
          </w:p>
        </w:tc>
      </w:tr>
      <w:tr w:rsidR="00805DF9" w14:paraId="0C6ACFD3" w14:textId="77777777" w:rsidTr="00A34615">
        <w:tc>
          <w:tcPr>
            <w:tcW w:w="4508" w:type="dxa"/>
          </w:tcPr>
          <w:p w14:paraId="077EB856" w14:textId="77777777" w:rsidR="00805DF9" w:rsidRDefault="00805DF9" w:rsidP="00805DF9">
            <w:pPr>
              <w:spacing w:after="120"/>
              <w:rPr>
                <w:i/>
                <w:color w:val="002060"/>
              </w:rPr>
            </w:pPr>
            <w:r w:rsidRPr="00805DF9">
              <w:rPr>
                <w:i/>
                <w:color w:val="002060"/>
              </w:rPr>
              <w:t>Name of city-level indicator</w:t>
            </w:r>
          </w:p>
          <w:p w14:paraId="2BB7B3CC" w14:textId="18D03B46" w:rsidR="00805DF9" w:rsidRPr="00805DF9" w:rsidRDefault="00805DF9" w:rsidP="00805DF9">
            <w:pPr>
              <w:spacing w:after="120"/>
              <w:rPr>
                <w:i/>
                <w:color w:val="002060"/>
              </w:rPr>
            </w:pPr>
          </w:p>
        </w:tc>
        <w:tc>
          <w:tcPr>
            <w:tcW w:w="4508" w:type="dxa"/>
          </w:tcPr>
          <w:p w14:paraId="58E9623E" w14:textId="01D03617" w:rsidR="00805DF9" w:rsidRPr="00FF3096" w:rsidRDefault="00805DF9" w:rsidP="00FF3096">
            <w:pPr>
              <w:spacing w:after="120"/>
              <w:jc w:val="center"/>
              <w:rPr>
                <w:b/>
                <w:i/>
                <w:color w:val="002060"/>
              </w:rPr>
            </w:pPr>
          </w:p>
        </w:tc>
      </w:tr>
      <w:tr w:rsidR="0085750E" w14:paraId="3B6F2F0E" w14:textId="77777777" w:rsidTr="00805DF9">
        <w:tc>
          <w:tcPr>
            <w:tcW w:w="4508" w:type="dxa"/>
          </w:tcPr>
          <w:p w14:paraId="6FD66012" w14:textId="77777777" w:rsidR="00FF3096" w:rsidRDefault="00FF3096" w:rsidP="0085750E">
            <w:pPr>
              <w:spacing w:after="120"/>
              <w:rPr>
                <w:i/>
                <w:color w:val="002060"/>
              </w:rPr>
            </w:pPr>
            <w:r>
              <w:rPr>
                <w:i/>
                <w:color w:val="002060"/>
              </w:rPr>
              <w:t>For the PORTIS measures identified as impacting on the city level indicator:</w:t>
            </w:r>
          </w:p>
          <w:p w14:paraId="2D4D03E1" w14:textId="77777777" w:rsidR="0085750E" w:rsidRDefault="0085750E" w:rsidP="000555AD">
            <w:pPr>
              <w:spacing w:after="120"/>
              <w:rPr>
                <w:i/>
                <w:color w:val="002060"/>
              </w:rPr>
            </w:pPr>
            <w:r w:rsidRPr="0085750E">
              <w:rPr>
                <w:i/>
                <w:color w:val="002060"/>
              </w:rPr>
              <w:t>Did delays in launching measures have an impact on the success of the measures?</w:t>
            </w:r>
          </w:p>
          <w:p w14:paraId="3CEF5F2A" w14:textId="01477480" w:rsidR="00FF3096" w:rsidRDefault="00FF3096" w:rsidP="000555AD">
            <w:pPr>
              <w:spacing w:after="120"/>
              <w:rPr>
                <w:i/>
                <w:color w:val="002060"/>
              </w:rPr>
            </w:pPr>
          </w:p>
        </w:tc>
        <w:tc>
          <w:tcPr>
            <w:tcW w:w="4508" w:type="dxa"/>
          </w:tcPr>
          <w:p w14:paraId="4622ADB7" w14:textId="77777777" w:rsidR="0085750E" w:rsidRDefault="0085750E" w:rsidP="000555AD">
            <w:pPr>
              <w:spacing w:after="120"/>
              <w:rPr>
                <w:i/>
                <w:color w:val="002060"/>
              </w:rPr>
            </w:pPr>
          </w:p>
        </w:tc>
      </w:tr>
      <w:tr w:rsidR="0085750E" w14:paraId="2D00B2C9" w14:textId="77777777" w:rsidTr="00805DF9">
        <w:tc>
          <w:tcPr>
            <w:tcW w:w="4508" w:type="dxa"/>
          </w:tcPr>
          <w:p w14:paraId="7B78B477" w14:textId="129B77EE" w:rsidR="0085750E" w:rsidRPr="0085750E" w:rsidRDefault="0085750E" w:rsidP="0085750E">
            <w:pPr>
              <w:spacing w:after="120"/>
              <w:rPr>
                <w:i/>
                <w:color w:val="002060"/>
              </w:rPr>
            </w:pPr>
            <w:r w:rsidRPr="0085750E">
              <w:rPr>
                <w:i/>
                <w:color w:val="002060"/>
              </w:rPr>
              <w:t>Did lack of support from stakeholders/actors limit the effectiveness of the measures</w:t>
            </w:r>
            <w:r>
              <w:rPr>
                <w:i/>
                <w:color w:val="002060"/>
              </w:rPr>
              <w:t>?</w:t>
            </w:r>
          </w:p>
          <w:p w14:paraId="336D034E" w14:textId="77777777" w:rsidR="0085750E" w:rsidRDefault="0085750E" w:rsidP="000555AD">
            <w:pPr>
              <w:spacing w:after="120"/>
              <w:rPr>
                <w:i/>
                <w:color w:val="002060"/>
              </w:rPr>
            </w:pPr>
          </w:p>
        </w:tc>
        <w:tc>
          <w:tcPr>
            <w:tcW w:w="4508" w:type="dxa"/>
          </w:tcPr>
          <w:p w14:paraId="78248B4B" w14:textId="77777777" w:rsidR="0085750E" w:rsidRDefault="0085750E" w:rsidP="000555AD">
            <w:pPr>
              <w:spacing w:after="120"/>
              <w:rPr>
                <w:i/>
                <w:color w:val="002060"/>
              </w:rPr>
            </w:pPr>
          </w:p>
        </w:tc>
      </w:tr>
      <w:tr w:rsidR="0085750E" w14:paraId="344C2B79" w14:textId="77777777" w:rsidTr="00805DF9">
        <w:tc>
          <w:tcPr>
            <w:tcW w:w="4508" w:type="dxa"/>
          </w:tcPr>
          <w:p w14:paraId="5B096603" w14:textId="77777777" w:rsidR="0085750E" w:rsidRPr="0085750E" w:rsidRDefault="0085750E" w:rsidP="0085750E">
            <w:pPr>
              <w:spacing w:after="120"/>
              <w:rPr>
                <w:i/>
                <w:color w:val="002060"/>
              </w:rPr>
            </w:pPr>
            <w:r w:rsidRPr="0085750E">
              <w:rPr>
                <w:i/>
                <w:color w:val="002060"/>
              </w:rPr>
              <w:t xml:space="preserve">Did major external disruptions affect the measured impacts? </w:t>
            </w:r>
          </w:p>
          <w:p w14:paraId="0ED78A49" w14:textId="77777777" w:rsidR="0085750E" w:rsidRDefault="0085750E" w:rsidP="000555AD">
            <w:pPr>
              <w:spacing w:after="120"/>
              <w:rPr>
                <w:i/>
                <w:color w:val="002060"/>
              </w:rPr>
            </w:pPr>
          </w:p>
        </w:tc>
        <w:tc>
          <w:tcPr>
            <w:tcW w:w="4508" w:type="dxa"/>
          </w:tcPr>
          <w:p w14:paraId="7DE0CE02" w14:textId="77777777" w:rsidR="0085750E" w:rsidRDefault="0085750E" w:rsidP="000555AD">
            <w:pPr>
              <w:spacing w:after="120"/>
              <w:rPr>
                <w:i/>
                <w:color w:val="002060"/>
              </w:rPr>
            </w:pPr>
          </w:p>
        </w:tc>
      </w:tr>
      <w:tr w:rsidR="0085750E" w14:paraId="2F5FFB42" w14:textId="77777777" w:rsidTr="00805DF9">
        <w:tc>
          <w:tcPr>
            <w:tcW w:w="4508" w:type="dxa"/>
          </w:tcPr>
          <w:p w14:paraId="3AD4B270" w14:textId="77777777" w:rsidR="0085750E" w:rsidRPr="0085750E" w:rsidRDefault="0085750E" w:rsidP="0085750E">
            <w:pPr>
              <w:spacing w:after="120"/>
              <w:rPr>
                <w:i/>
                <w:color w:val="002060"/>
              </w:rPr>
            </w:pPr>
            <w:r w:rsidRPr="0085750E">
              <w:rPr>
                <w:i/>
                <w:color w:val="002060"/>
              </w:rPr>
              <w:t>Did marketing reach the desired target market</w:t>
            </w:r>
          </w:p>
          <w:p w14:paraId="692C8776" w14:textId="77777777" w:rsidR="0085750E" w:rsidRDefault="0085750E" w:rsidP="000555AD">
            <w:pPr>
              <w:spacing w:after="120"/>
              <w:rPr>
                <w:i/>
                <w:color w:val="002060"/>
              </w:rPr>
            </w:pPr>
          </w:p>
        </w:tc>
        <w:tc>
          <w:tcPr>
            <w:tcW w:w="4508" w:type="dxa"/>
          </w:tcPr>
          <w:p w14:paraId="6C55B725" w14:textId="77777777" w:rsidR="0085750E" w:rsidRDefault="0085750E" w:rsidP="000555AD">
            <w:pPr>
              <w:spacing w:after="120"/>
              <w:rPr>
                <w:i/>
                <w:color w:val="002060"/>
              </w:rPr>
            </w:pPr>
          </w:p>
        </w:tc>
      </w:tr>
      <w:tr w:rsidR="0085750E" w14:paraId="77340FE4" w14:textId="77777777" w:rsidTr="00805DF9">
        <w:tc>
          <w:tcPr>
            <w:tcW w:w="4508" w:type="dxa"/>
          </w:tcPr>
          <w:p w14:paraId="446ADC39" w14:textId="528F4D2C" w:rsidR="0085750E" w:rsidRPr="0085750E" w:rsidRDefault="0085750E" w:rsidP="0085750E">
            <w:pPr>
              <w:spacing w:after="120"/>
              <w:rPr>
                <w:i/>
                <w:color w:val="002060"/>
              </w:rPr>
            </w:pPr>
            <w:r w:rsidRPr="0085750E">
              <w:rPr>
                <w:i/>
                <w:color w:val="002060"/>
              </w:rPr>
              <w:t>Were there technical problems with the measures once launched</w:t>
            </w:r>
            <w:r>
              <w:rPr>
                <w:i/>
                <w:color w:val="002060"/>
              </w:rPr>
              <w:t>?</w:t>
            </w:r>
            <w:r w:rsidRPr="0085750E">
              <w:rPr>
                <w:i/>
                <w:color w:val="002060"/>
              </w:rPr>
              <w:t xml:space="preserve"> </w:t>
            </w:r>
          </w:p>
          <w:p w14:paraId="1036CD59" w14:textId="77777777" w:rsidR="0085750E" w:rsidRDefault="0085750E" w:rsidP="000555AD">
            <w:pPr>
              <w:spacing w:after="120"/>
              <w:rPr>
                <w:i/>
                <w:color w:val="002060"/>
              </w:rPr>
            </w:pPr>
          </w:p>
        </w:tc>
        <w:tc>
          <w:tcPr>
            <w:tcW w:w="4508" w:type="dxa"/>
          </w:tcPr>
          <w:p w14:paraId="217095EB" w14:textId="77777777" w:rsidR="0085750E" w:rsidRDefault="0085750E" w:rsidP="000555AD">
            <w:pPr>
              <w:spacing w:after="120"/>
              <w:rPr>
                <w:i/>
                <w:color w:val="002060"/>
              </w:rPr>
            </w:pPr>
          </w:p>
        </w:tc>
      </w:tr>
      <w:tr w:rsidR="0085750E" w14:paraId="7566E9C9" w14:textId="77777777" w:rsidTr="00805DF9">
        <w:tc>
          <w:tcPr>
            <w:tcW w:w="4508" w:type="dxa"/>
          </w:tcPr>
          <w:p w14:paraId="5AEED337" w14:textId="77777777" w:rsidR="0085750E" w:rsidRPr="0085750E" w:rsidRDefault="0085750E" w:rsidP="0085750E">
            <w:pPr>
              <w:spacing w:after="120"/>
              <w:rPr>
                <w:i/>
                <w:color w:val="002060"/>
              </w:rPr>
            </w:pPr>
            <w:r w:rsidRPr="0085750E">
              <w:rPr>
                <w:i/>
                <w:color w:val="002060"/>
              </w:rPr>
              <w:t xml:space="preserve">Were there any problems related to the data collection for the city level indicators?   How did this affect the results?  </w:t>
            </w:r>
          </w:p>
          <w:p w14:paraId="23528E86" w14:textId="77777777" w:rsidR="0085750E" w:rsidRDefault="0085750E" w:rsidP="000555AD">
            <w:pPr>
              <w:spacing w:after="120"/>
              <w:rPr>
                <w:i/>
                <w:color w:val="002060"/>
              </w:rPr>
            </w:pPr>
          </w:p>
        </w:tc>
        <w:tc>
          <w:tcPr>
            <w:tcW w:w="4508" w:type="dxa"/>
          </w:tcPr>
          <w:p w14:paraId="3132655A" w14:textId="77777777" w:rsidR="0085750E" w:rsidRDefault="0085750E" w:rsidP="000555AD">
            <w:pPr>
              <w:spacing w:after="120"/>
              <w:rPr>
                <w:i/>
                <w:color w:val="002060"/>
              </w:rPr>
            </w:pPr>
          </w:p>
        </w:tc>
      </w:tr>
      <w:tr w:rsidR="0085750E" w14:paraId="23A8E8A6" w14:textId="77777777" w:rsidTr="00805DF9">
        <w:tc>
          <w:tcPr>
            <w:tcW w:w="4508" w:type="dxa"/>
          </w:tcPr>
          <w:p w14:paraId="39586242" w14:textId="77777777" w:rsidR="00FF3096" w:rsidRDefault="0085750E" w:rsidP="00FF3096">
            <w:pPr>
              <w:spacing w:after="120"/>
              <w:rPr>
                <w:i/>
                <w:color w:val="002060"/>
              </w:rPr>
            </w:pPr>
            <w:r w:rsidRPr="0085750E">
              <w:rPr>
                <w:i/>
                <w:color w:val="002060"/>
              </w:rPr>
              <w:t>Was the data collected reliable?   Sufficient samples?   Weather conditions when collecting?   Time period over which data was collected?</w:t>
            </w:r>
          </w:p>
          <w:p w14:paraId="0823B7CA" w14:textId="7E706825" w:rsidR="0085750E" w:rsidRDefault="0085750E" w:rsidP="00FF3096">
            <w:pPr>
              <w:spacing w:after="120"/>
              <w:rPr>
                <w:i/>
                <w:color w:val="002060"/>
              </w:rPr>
            </w:pPr>
            <w:r w:rsidRPr="0085750E">
              <w:rPr>
                <w:i/>
                <w:color w:val="002060"/>
              </w:rPr>
              <w:t xml:space="preserve">  </w:t>
            </w:r>
          </w:p>
        </w:tc>
        <w:tc>
          <w:tcPr>
            <w:tcW w:w="4508" w:type="dxa"/>
          </w:tcPr>
          <w:p w14:paraId="5D4E65EC" w14:textId="77777777" w:rsidR="0085750E" w:rsidRDefault="0085750E" w:rsidP="000555AD">
            <w:pPr>
              <w:spacing w:after="120"/>
              <w:rPr>
                <w:i/>
                <w:color w:val="002060"/>
              </w:rPr>
            </w:pPr>
          </w:p>
        </w:tc>
      </w:tr>
      <w:tr w:rsidR="0085750E" w14:paraId="16A1EEAD" w14:textId="77777777" w:rsidTr="00805DF9">
        <w:tc>
          <w:tcPr>
            <w:tcW w:w="4508" w:type="dxa"/>
          </w:tcPr>
          <w:p w14:paraId="3E8C86D0" w14:textId="77777777" w:rsidR="00FF3096" w:rsidRDefault="00FF3096" w:rsidP="000555AD">
            <w:pPr>
              <w:spacing w:after="120"/>
              <w:rPr>
                <w:i/>
                <w:color w:val="002060"/>
              </w:rPr>
            </w:pPr>
            <w:r w:rsidRPr="0085750E">
              <w:rPr>
                <w:i/>
                <w:color w:val="002060"/>
              </w:rPr>
              <w:t xml:space="preserve">Did the scale (in terms of geography or targeted users) of the PORTIS measures limit the influence of the measures on achieving impacts at the city level?   Highlight where it is not sensible or feasible to consider upscaling the measure to the city level.   </w:t>
            </w:r>
          </w:p>
          <w:p w14:paraId="21F200F2" w14:textId="531743B0" w:rsidR="00FF3096" w:rsidRDefault="00FF3096" w:rsidP="000555AD">
            <w:pPr>
              <w:spacing w:after="120"/>
              <w:rPr>
                <w:i/>
                <w:color w:val="002060"/>
              </w:rPr>
            </w:pPr>
          </w:p>
        </w:tc>
        <w:tc>
          <w:tcPr>
            <w:tcW w:w="4508" w:type="dxa"/>
          </w:tcPr>
          <w:p w14:paraId="5C1B192E" w14:textId="77777777" w:rsidR="0085750E" w:rsidRDefault="0085750E" w:rsidP="000555AD">
            <w:pPr>
              <w:spacing w:after="120"/>
              <w:rPr>
                <w:i/>
                <w:color w:val="002060"/>
              </w:rPr>
            </w:pPr>
          </w:p>
        </w:tc>
      </w:tr>
      <w:tr w:rsidR="00FF3096" w14:paraId="085F68AC" w14:textId="77777777" w:rsidTr="00805DF9">
        <w:tc>
          <w:tcPr>
            <w:tcW w:w="4508" w:type="dxa"/>
          </w:tcPr>
          <w:p w14:paraId="38934AA3" w14:textId="77777777" w:rsidR="00FF3096" w:rsidRDefault="00FF3096" w:rsidP="000555AD">
            <w:pPr>
              <w:spacing w:after="120"/>
              <w:rPr>
                <w:i/>
                <w:color w:val="002060"/>
              </w:rPr>
            </w:pPr>
            <w:r>
              <w:rPr>
                <w:i/>
                <w:color w:val="002060"/>
              </w:rPr>
              <w:t xml:space="preserve">Please describe the influence of any other factors which significantly impacted on this city level indicator?  </w:t>
            </w:r>
          </w:p>
          <w:p w14:paraId="5BA7DB15" w14:textId="77777777" w:rsidR="00FF3096" w:rsidRDefault="00FF3096" w:rsidP="000555AD">
            <w:pPr>
              <w:spacing w:after="120"/>
              <w:rPr>
                <w:i/>
                <w:color w:val="002060"/>
              </w:rPr>
            </w:pPr>
          </w:p>
          <w:p w14:paraId="3D5EC95C" w14:textId="2C53A084" w:rsidR="00FF3096" w:rsidRDefault="00FF3096" w:rsidP="000555AD">
            <w:pPr>
              <w:spacing w:after="120"/>
              <w:rPr>
                <w:i/>
                <w:color w:val="002060"/>
              </w:rPr>
            </w:pPr>
          </w:p>
        </w:tc>
        <w:tc>
          <w:tcPr>
            <w:tcW w:w="4508" w:type="dxa"/>
          </w:tcPr>
          <w:p w14:paraId="785FA58F" w14:textId="77777777" w:rsidR="00FF3096" w:rsidRDefault="00FF3096" w:rsidP="000555AD">
            <w:pPr>
              <w:spacing w:after="120"/>
              <w:rPr>
                <w:i/>
                <w:color w:val="002060"/>
              </w:rPr>
            </w:pPr>
          </w:p>
        </w:tc>
      </w:tr>
    </w:tbl>
    <w:p w14:paraId="463C2817" w14:textId="0CDADCBD" w:rsidR="00C946D7" w:rsidRDefault="00C946D7" w:rsidP="000555AD">
      <w:pPr>
        <w:spacing w:after="120"/>
        <w:rPr>
          <w:i/>
          <w:color w:val="002060"/>
        </w:rPr>
      </w:pPr>
    </w:p>
    <w:p w14:paraId="3783C62E" w14:textId="77777777" w:rsidR="00FE616C" w:rsidRDefault="00FE616C" w:rsidP="000555AD">
      <w:pPr>
        <w:spacing w:after="120"/>
      </w:pPr>
    </w:p>
    <w:p w14:paraId="5556A7AE" w14:textId="49D9E7DB" w:rsidR="000C73AF" w:rsidRDefault="000C73AF" w:rsidP="000555AD">
      <w:pPr>
        <w:spacing w:after="120"/>
      </w:pPr>
    </w:p>
    <w:p w14:paraId="47A0A59C" w14:textId="77777777" w:rsidR="000555AD" w:rsidRDefault="000555AD" w:rsidP="000555AD">
      <w:pPr>
        <w:spacing w:after="120"/>
      </w:pPr>
    </w:p>
    <w:p w14:paraId="02DD83B7" w14:textId="0712A9B3" w:rsidR="0037313F" w:rsidRPr="003C23E4" w:rsidRDefault="0037313F">
      <w:pPr>
        <w:rPr>
          <w:color w:val="C00000"/>
        </w:rPr>
      </w:pPr>
    </w:p>
    <w:p w14:paraId="1F71E7FE" w14:textId="77777777" w:rsidR="00C27909" w:rsidRDefault="00B4616B">
      <w:pPr>
        <w:spacing w:after="160" w:line="259" w:lineRule="auto"/>
        <w:sectPr w:rsidR="00C27909">
          <w:headerReference w:type="default" r:id="rId15"/>
          <w:footerReference w:type="default" r:id="rId16"/>
          <w:pgSz w:w="11910" w:h="16840"/>
          <w:pgMar w:top="1200" w:right="1180" w:bottom="1200" w:left="1200" w:header="275" w:footer="1003" w:gutter="0"/>
          <w:cols w:space="720"/>
        </w:sectPr>
      </w:pPr>
      <w:r>
        <w:br w:type="page"/>
      </w:r>
    </w:p>
    <w:p w14:paraId="7204DD91" w14:textId="10120C63" w:rsidR="00B4616B" w:rsidRDefault="00B4616B">
      <w:pPr>
        <w:spacing w:after="160" w:line="259" w:lineRule="auto"/>
      </w:pPr>
    </w:p>
    <w:p w14:paraId="0F0A0EDF" w14:textId="0A4B40E4" w:rsidR="0037313F" w:rsidRPr="001875F5" w:rsidRDefault="00B4616B">
      <w:pPr>
        <w:rPr>
          <w:b/>
          <w:sz w:val="44"/>
        </w:rPr>
      </w:pPr>
      <w:r w:rsidRPr="001875F5">
        <w:rPr>
          <w:b/>
          <w:sz w:val="44"/>
        </w:rPr>
        <w:t>ANNEX A</w:t>
      </w:r>
      <w:r w:rsidR="001875F5" w:rsidRPr="001875F5">
        <w:rPr>
          <w:b/>
          <w:sz w:val="44"/>
        </w:rPr>
        <w:t xml:space="preserve">: Output from Antwerp Workshop 1 (Trends / External Factors) </w:t>
      </w:r>
    </w:p>
    <w:p w14:paraId="165070E1" w14:textId="77777777" w:rsidR="001875F5" w:rsidRDefault="001875F5">
      <w:pPr>
        <w:pStyle w:val="Heading1"/>
        <w:spacing w:line="670" w:lineRule="exact"/>
      </w:pPr>
      <w:r>
        <w:t>Local Evaluation Meeting CIVITAS PORTIS</w:t>
      </w:r>
    </w:p>
    <w:p w14:paraId="2707300C" w14:textId="77777777" w:rsidR="001875F5" w:rsidRDefault="001875F5">
      <w:pPr>
        <w:ind w:left="240"/>
        <w:rPr>
          <w:rFonts w:ascii="Calibri Light"/>
          <w:sz w:val="56"/>
        </w:rPr>
      </w:pPr>
      <w:r>
        <w:rPr>
          <w:rFonts w:ascii="Calibri Light"/>
          <w:sz w:val="56"/>
        </w:rPr>
        <w:t>Antwerp</w:t>
      </w:r>
    </w:p>
    <w:p w14:paraId="59CAFAB3" w14:textId="04051BFD" w:rsidR="001875F5" w:rsidRDefault="001875F5">
      <w:pPr>
        <w:pStyle w:val="BodyText"/>
        <w:ind w:left="240"/>
      </w:pPr>
      <w:r>
        <w:rPr>
          <w:color w:val="5A5A5A"/>
        </w:rPr>
        <w:t>Meeting 14 February 2019</w:t>
      </w:r>
    </w:p>
    <w:p w14:paraId="361E882F" w14:textId="77777777" w:rsidR="001875F5" w:rsidRDefault="001875F5">
      <w:pPr>
        <w:pStyle w:val="Heading2"/>
        <w:spacing w:before="174"/>
      </w:pPr>
      <w:r>
        <w:rPr>
          <w:color w:val="2D74B5"/>
        </w:rPr>
        <w:t>Attendees</w:t>
      </w:r>
    </w:p>
    <w:p w14:paraId="61BD0B8E" w14:textId="77777777" w:rsidR="001875F5" w:rsidRDefault="001875F5">
      <w:pPr>
        <w:pStyle w:val="BodyText"/>
        <w:spacing w:before="6"/>
        <w:ind w:left="0"/>
        <w:rPr>
          <w:rFonts w:ascii="Calibri Light"/>
          <w:sz w:val="19"/>
        </w:rPr>
      </w:pPr>
    </w:p>
    <w:tbl>
      <w:tblPr>
        <w:tblW w:w="0" w:type="auto"/>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596"/>
        <w:gridCol w:w="5423"/>
      </w:tblGrid>
      <w:tr w:rsidR="001875F5" w14:paraId="390C52B2" w14:textId="77777777">
        <w:trPr>
          <w:trHeight w:hRule="exact" w:val="288"/>
        </w:trPr>
        <w:tc>
          <w:tcPr>
            <w:tcW w:w="3596" w:type="dxa"/>
            <w:tcBorders>
              <w:bottom w:val="single" w:sz="12" w:space="0" w:color="666666"/>
            </w:tcBorders>
          </w:tcPr>
          <w:p w14:paraId="2C712A8B" w14:textId="77777777" w:rsidR="001875F5" w:rsidRDefault="001875F5">
            <w:pPr>
              <w:pStyle w:val="TableParagraph"/>
              <w:rPr>
                <w:b/>
              </w:rPr>
            </w:pPr>
            <w:r>
              <w:rPr>
                <w:b/>
              </w:rPr>
              <w:t>Name</w:t>
            </w:r>
          </w:p>
        </w:tc>
        <w:tc>
          <w:tcPr>
            <w:tcW w:w="5423" w:type="dxa"/>
            <w:tcBorders>
              <w:bottom w:val="single" w:sz="12" w:space="0" w:color="666666"/>
            </w:tcBorders>
          </w:tcPr>
          <w:p w14:paraId="0C79D5D0" w14:textId="77777777" w:rsidR="001875F5" w:rsidRDefault="001875F5">
            <w:pPr>
              <w:pStyle w:val="TableParagraph"/>
              <w:rPr>
                <w:b/>
              </w:rPr>
            </w:pPr>
            <w:r>
              <w:rPr>
                <w:b/>
              </w:rPr>
              <w:t>Organisation</w:t>
            </w:r>
          </w:p>
        </w:tc>
      </w:tr>
      <w:tr w:rsidR="001875F5" w14:paraId="7AEA4E48" w14:textId="77777777">
        <w:trPr>
          <w:trHeight w:hRule="exact" w:val="288"/>
        </w:trPr>
        <w:tc>
          <w:tcPr>
            <w:tcW w:w="3596" w:type="dxa"/>
            <w:tcBorders>
              <w:top w:val="single" w:sz="12" w:space="0" w:color="666666"/>
            </w:tcBorders>
          </w:tcPr>
          <w:p w14:paraId="28CD511B" w14:textId="77777777" w:rsidR="001875F5" w:rsidRDefault="001875F5">
            <w:pPr>
              <w:pStyle w:val="TableParagraph"/>
              <w:rPr>
                <w:b/>
              </w:rPr>
            </w:pPr>
            <w:r>
              <w:rPr>
                <w:b/>
              </w:rPr>
              <w:t>Marijke De Roeck</w:t>
            </w:r>
          </w:p>
        </w:tc>
        <w:tc>
          <w:tcPr>
            <w:tcW w:w="5423" w:type="dxa"/>
            <w:tcBorders>
              <w:top w:val="single" w:sz="12" w:space="0" w:color="666666"/>
            </w:tcBorders>
          </w:tcPr>
          <w:p w14:paraId="67AD3580" w14:textId="77777777" w:rsidR="001875F5" w:rsidRDefault="001875F5">
            <w:pPr>
              <w:pStyle w:val="TableParagraph"/>
            </w:pPr>
            <w:r>
              <w:t>Stad Antwerpen</w:t>
            </w:r>
          </w:p>
        </w:tc>
      </w:tr>
      <w:tr w:rsidR="001875F5" w14:paraId="266E4FAF" w14:textId="77777777">
        <w:trPr>
          <w:trHeight w:hRule="exact" w:val="278"/>
        </w:trPr>
        <w:tc>
          <w:tcPr>
            <w:tcW w:w="3596" w:type="dxa"/>
          </w:tcPr>
          <w:p w14:paraId="09CA17BF" w14:textId="77777777" w:rsidR="001875F5" w:rsidRDefault="001875F5">
            <w:pPr>
              <w:pStyle w:val="TableParagraph"/>
              <w:spacing w:line="268" w:lineRule="exact"/>
              <w:rPr>
                <w:b/>
              </w:rPr>
            </w:pPr>
            <w:r>
              <w:rPr>
                <w:b/>
              </w:rPr>
              <w:t>Marjolein Salens</w:t>
            </w:r>
          </w:p>
        </w:tc>
        <w:tc>
          <w:tcPr>
            <w:tcW w:w="5423" w:type="dxa"/>
          </w:tcPr>
          <w:p w14:paraId="28FDA9F8" w14:textId="77777777" w:rsidR="001875F5" w:rsidRDefault="001875F5">
            <w:pPr>
              <w:pStyle w:val="TableParagraph"/>
              <w:spacing w:line="268" w:lineRule="exact"/>
            </w:pPr>
            <w:r>
              <w:t>Stad Antwerpen</w:t>
            </w:r>
          </w:p>
        </w:tc>
      </w:tr>
      <w:tr w:rsidR="001875F5" w14:paraId="31D76BF0" w14:textId="77777777">
        <w:trPr>
          <w:trHeight w:hRule="exact" w:val="279"/>
        </w:trPr>
        <w:tc>
          <w:tcPr>
            <w:tcW w:w="3596" w:type="dxa"/>
          </w:tcPr>
          <w:p w14:paraId="70F3B614" w14:textId="77777777" w:rsidR="001875F5" w:rsidRDefault="001875F5">
            <w:pPr>
              <w:pStyle w:val="TableParagraph"/>
              <w:spacing w:line="240" w:lineRule="auto"/>
              <w:rPr>
                <w:b/>
              </w:rPr>
            </w:pPr>
            <w:r>
              <w:rPr>
                <w:b/>
              </w:rPr>
              <w:t>Emilie Couwenberg</w:t>
            </w:r>
          </w:p>
        </w:tc>
        <w:tc>
          <w:tcPr>
            <w:tcW w:w="5423" w:type="dxa"/>
          </w:tcPr>
          <w:p w14:paraId="509CFE5F" w14:textId="77777777" w:rsidR="001875F5" w:rsidRDefault="001875F5">
            <w:pPr>
              <w:pStyle w:val="TableParagraph"/>
              <w:spacing w:line="240" w:lineRule="auto"/>
            </w:pPr>
            <w:r>
              <w:t>Stad Antwerpen</w:t>
            </w:r>
          </w:p>
        </w:tc>
      </w:tr>
      <w:tr w:rsidR="001875F5" w14:paraId="13B78389" w14:textId="77777777">
        <w:trPr>
          <w:trHeight w:hRule="exact" w:val="281"/>
        </w:trPr>
        <w:tc>
          <w:tcPr>
            <w:tcW w:w="3596" w:type="dxa"/>
          </w:tcPr>
          <w:p w14:paraId="30549F78" w14:textId="77777777" w:rsidR="001875F5" w:rsidRDefault="001875F5">
            <w:pPr>
              <w:pStyle w:val="TableParagraph"/>
              <w:spacing w:line="268" w:lineRule="exact"/>
              <w:rPr>
                <w:b/>
              </w:rPr>
            </w:pPr>
            <w:r>
              <w:rPr>
                <w:b/>
              </w:rPr>
              <w:t>Herlinde Smet</w:t>
            </w:r>
          </w:p>
        </w:tc>
        <w:tc>
          <w:tcPr>
            <w:tcW w:w="5423" w:type="dxa"/>
          </w:tcPr>
          <w:p w14:paraId="39768ACC" w14:textId="77777777" w:rsidR="001875F5" w:rsidRDefault="001875F5">
            <w:pPr>
              <w:pStyle w:val="TableParagraph"/>
              <w:spacing w:line="268" w:lineRule="exact"/>
            </w:pPr>
            <w:r>
              <w:t>Stad Antwerpen</w:t>
            </w:r>
          </w:p>
        </w:tc>
      </w:tr>
      <w:tr w:rsidR="001875F5" w14:paraId="38824D2A" w14:textId="77777777">
        <w:trPr>
          <w:trHeight w:hRule="exact" w:val="278"/>
        </w:trPr>
        <w:tc>
          <w:tcPr>
            <w:tcW w:w="3596" w:type="dxa"/>
          </w:tcPr>
          <w:p w14:paraId="023DE6EE" w14:textId="77777777" w:rsidR="001875F5" w:rsidRDefault="001875F5">
            <w:pPr>
              <w:pStyle w:val="TableParagraph"/>
              <w:rPr>
                <w:b/>
              </w:rPr>
            </w:pPr>
            <w:r>
              <w:rPr>
                <w:b/>
              </w:rPr>
              <w:t>Chris Van Maroey</w:t>
            </w:r>
          </w:p>
        </w:tc>
        <w:tc>
          <w:tcPr>
            <w:tcW w:w="5423" w:type="dxa"/>
          </w:tcPr>
          <w:p w14:paraId="1BD0E8DE" w14:textId="77777777" w:rsidR="001875F5" w:rsidRDefault="001875F5">
            <w:pPr>
              <w:pStyle w:val="TableParagraph"/>
            </w:pPr>
            <w:r>
              <w:t>Stad Antwerpen</w:t>
            </w:r>
          </w:p>
        </w:tc>
      </w:tr>
      <w:tr w:rsidR="001875F5" w14:paraId="0980FC18" w14:textId="77777777">
        <w:trPr>
          <w:trHeight w:hRule="exact" w:val="278"/>
        </w:trPr>
        <w:tc>
          <w:tcPr>
            <w:tcW w:w="3596" w:type="dxa"/>
          </w:tcPr>
          <w:p w14:paraId="79D71DCB" w14:textId="77777777" w:rsidR="001875F5" w:rsidRDefault="001875F5">
            <w:pPr>
              <w:pStyle w:val="TableParagraph"/>
              <w:rPr>
                <w:b/>
              </w:rPr>
            </w:pPr>
            <w:r>
              <w:rPr>
                <w:b/>
              </w:rPr>
              <w:t>Nathalie Neirynck</w:t>
            </w:r>
          </w:p>
        </w:tc>
        <w:tc>
          <w:tcPr>
            <w:tcW w:w="5423" w:type="dxa"/>
          </w:tcPr>
          <w:p w14:paraId="4C9EF745" w14:textId="77777777" w:rsidR="001875F5" w:rsidRDefault="001875F5">
            <w:pPr>
              <w:pStyle w:val="TableParagraph"/>
            </w:pPr>
            <w:r>
              <w:t>Stad Antwerpen</w:t>
            </w:r>
          </w:p>
        </w:tc>
      </w:tr>
      <w:tr w:rsidR="001875F5" w14:paraId="569AC2EE" w14:textId="77777777">
        <w:trPr>
          <w:trHeight w:hRule="exact" w:val="278"/>
        </w:trPr>
        <w:tc>
          <w:tcPr>
            <w:tcW w:w="3596" w:type="dxa"/>
          </w:tcPr>
          <w:p w14:paraId="3453D905" w14:textId="77777777" w:rsidR="001875F5" w:rsidRDefault="001875F5">
            <w:pPr>
              <w:pStyle w:val="TableParagraph"/>
              <w:rPr>
                <w:b/>
              </w:rPr>
            </w:pPr>
            <w:r>
              <w:rPr>
                <w:b/>
              </w:rPr>
              <w:t>Steven Windey</w:t>
            </w:r>
          </w:p>
        </w:tc>
        <w:tc>
          <w:tcPr>
            <w:tcW w:w="5423" w:type="dxa"/>
          </w:tcPr>
          <w:p w14:paraId="0FB9666B" w14:textId="77777777" w:rsidR="001875F5" w:rsidRDefault="001875F5">
            <w:pPr>
              <w:pStyle w:val="TableParagraph"/>
            </w:pPr>
            <w:r>
              <w:t>Stad Antwerpen</w:t>
            </w:r>
          </w:p>
        </w:tc>
      </w:tr>
      <w:tr w:rsidR="001875F5" w14:paraId="2220B344" w14:textId="77777777">
        <w:trPr>
          <w:trHeight w:hRule="exact" w:val="278"/>
        </w:trPr>
        <w:tc>
          <w:tcPr>
            <w:tcW w:w="3596" w:type="dxa"/>
          </w:tcPr>
          <w:p w14:paraId="0A34F6D0" w14:textId="77777777" w:rsidR="001875F5" w:rsidRDefault="001875F5">
            <w:pPr>
              <w:pStyle w:val="TableParagraph"/>
              <w:rPr>
                <w:b/>
              </w:rPr>
            </w:pPr>
            <w:r>
              <w:rPr>
                <w:b/>
              </w:rPr>
              <w:t>Laura Tavernier</w:t>
            </w:r>
          </w:p>
        </w:tc>
        <w:tc>
          <w:tcPr>
            <w:tcW w:w="5423" w:type="dxa"/>
          </w:tcPr>
          <w:p w14:paraId="2CED2E94" w14:textId="77777777" w:rsidR="001875F5" w:rsidRDefault="001875F5">
            <w:pPr>
              <w:pStyle w:val="TableParagraph"/>
            </w:pPr>
            <w:r>
              <w:t>Stad Antwerpen</w:t>
            </w:r>
          </w:p>
        </w:tc>
      </w:tr>
      <w:tr w:rsidR="001875F5" w14:paraId="588FCBA5" w14:textId="77777777">
        <w:trPr>
          <w:trHeight w:hRule="exact" w:val="278"/>
        </w:trPr>
        <w:tc>
          <w:tcPr>
            <w:tcW w:w="3596" w:type="dxa"/>
          </w:tcPr>
          <w:p w14:paraId="5B8A06D3" w14:textId="77777777" w:rsidR="001875F5" w:rsidRDefault="001875F5">
            <w:pPr>
              <w:pStyle w:val="TableParagraph"/>
              <w:rPr>
                <w:b/>
              </w:rPr>
            </w:pPr>
            <w:r>
              <w:rPr>
                <w:b/>
              </w:rPr>
              <w:t>Stijn Vernaillen</w:t>
            </w:r>
          </w:p>
        </w:tc>
        <w:tc>
          <w:tcPr>
            <w:tcW w:w="5423" w:type="dxa"/>
          </w:tcPr>
          <w:p w14:paraId="5934C5A9" w14:textId="77777777" w:rsidR="001875F5" w:rsidRDefault="001875F5">
            <w:pPr>
              <w:pStyle w:val="TableParagraph"/>
            </w:pPr>
            <w:r>
              <w:t>Stad Antwerpen</w:t>
            </w:r>
          </w:p>
        </w:tc>
      </w:tr>
      <w:tr w:rsidR="001875F5" w14:paraId="476AE711" w14:textId="77777777">
        <w:trPr>
          <w:trHeight w:hRule="exact" w:val="278"/>
        </w:trPr>
        <w:tc>
          <w:tcPr>
            <w:tcW w:w="3596" w:type="dxa"/>
          </w:tcPr>
          <w:p w14:paraId="1F845E52" w14:textId="77777777" w:rsidR="001875F5" w:rsidRDefault="001875F5">
            <w:pPr>
              <w:pStyle w:val="TableParagraph"/>
              <w:rPr>
                <w:b/>
              </w:rPr>
            </w:pPr>
            <w:r>
              <w:rPr>
                <w:b/>
              </w:rPr>
              <w:t>Dominique Jacobs</w:t>
            </w:r>
          </w:p>
        </w:tc>
        <w:tc>
          <w:tcPr>
            <w:tcW w:w="5423" w:type="dxa"/>
          </w:tcPr>
          <w:p w14:paraId="3423406A" w14:textId="77777777" w:rsidR="001875F5" w:rsidRDefault="001875F5">
            <w:pPr>
              <w:pStyle w:val="TableParagraph"/>
            </w:pPr>
            <w:r>
              <w:t>Stad Antwerpen</w:t>
            </w:r>
          </w:p>
        </w:tc>
      </w:tr>
      <w:tr w:rsidR="001875F5" w14:paraId="511BB7D4" w14:textId="77777777">
        <w:trPr>
          <w:trHeight w:hRule="exact" w:val="278"/>
        </w:trPr>
        <w:tc>
          <w:tcPr>
            <w:tcW w:w="3596" w:type="dxa"/>
          </w:tcPr>
          <w:p w14:paraId="6B2F58BB" w14:textId="77777777" w:rsidR="001875F5" w:rsidRDefault="001875F5">
            <w:pPr>
              <w:pStyle w:val="TableParagraph"/>
              <w:rPr>
                <w:b/>
              </w:rPr>
            </w:pPr>
            <w:r>
              <w:rPr>
                <w:b/>
              </w:rPr>
              <w:t>Katia Kishchenko</w:t>
            </w:r>
          </w:p>
        </w:tc>
        <w:tc>
          <w:tcPr>
            <w:tcW w:w="5423" w:type="dxa"/>
          </w:tcPr>
          <w:p w14:paraId="126BEACF" w14:textId="77777777" w:rsidR="001875F5" w:rsidRDefault="001875F5">
            <w:pPr>
              <w:pStyle w:val="TableParagraph"/>
            </w:pPr>
            <w:r>
              <w:t>Stad Antwerpen</w:t>
            </w:r>
          </w:p>
        </w:tc>
      </w:tr>
      <w:tr w:rsidR="001875F5" w14:paraId="10D22147" w14:textId="77777777">
        <w:trPr>
          <w:trHeight w:hRule="exact" w:val="278"/>
        </w:trPr>
        <w:tc>
          <w:tcPr>
            <w:tcW w:w="3596" w:type="dxa"/>
          </w:tcPr>
          <w:p w14:paraId="2F68156F" w14:textId="77777777" w:rsidR="001875F5" w:rsidRDefault="001875F5">
            <w:pPr>
              <w:pStyle w:val="TableParagraph"/>
              <w:rPr>
                <w:b/>
              </w:rPr>
            </w:pPr>
            <w:r>
              <w:rPr>
                <w:b/>
              </w:rPr>
              <w:t>Koen Christiaen</w:t>
            </w:r>
          </w:p>
        </w:tc>
        <w:tc>
          <w:tcPr>
            <w:tcW w:w="5423" w:type="dxa"/>
          </w:tcPr>
          <w:p w14:paraId="470B1FDC" w14:textId="77777777" w:rsidR="001875F5" w:rsidRDefault="001875F5">
            <w:pPr>
              <w:pStyle w:val="TableParagraph"/>
            </w:pPr>
            <w:r>
              <w:t>NMBS</w:t>
            </w:r>
          </w:p>
        </w:tc>
      </w:tr>
      <w:tr w:rsidR="001875F5" w14:paraId="32014D46" w14:textId="77777777">
        <w:trPr>
          <w:trHeight w:hRule="exact" w:val="278"/>
        </w:trPr>
        <w:tc>
          <w:tcPr>
            <w:tcW w:w="3596" w:type="dxa"/>
          </w:tcPr>
          <w:p w14:paraId="685358EA" w14:textId="77777777" w:rsidR="001875F5" w:rsidRDefault="001875F5">
            <w:pPr>
              <w:pStyle w:val="TableParagraph"/>
              <w:rPr>
                <w:b/>
              </w:rPr>
            </w:pPr>
            <w:r>
              <w:rPr>
                <w:b/>
              </w:rPr>
              <w:t>Nathalie Duerinck</w:t>
            </w:r>
          </w:p>
        </w:tc>
        <w:tc>
          <w:tcPr>
            <w:tcW w:w="5423" w:type="dxa"/>
          </w:tcPr>
          <w:p w14:paraId="6086E4B8" w14:textId="77777777" w:rsidR="001875F5" w:rsidRDefault="001875F5">
            <w:pPr>
              <w:pStyle w:val="TableParagraph"/>
            </w:pPr>
            <w:r>
              <w:t>De Lijn</w:t>
            </w:r>
          </w:p>
        </w:tc>
      </w:tr>
      <w:tr w:rsidR="001875F5" w14:paraId="790DD928" w14:textId="77777777">
        <w:trPr>
          <w:trHeight w:hRule="exact" w:val="278"/>
        </w:trPr>
        <w:tc>
          <w:tcPr>
            <w:tcW w:w="3596" w:type="dxa"/>
          </w:tcPr>
          <w:p w14:paraId="76FE3584" w14:textId="77777777" w:rsidR="001875F5" w:rsidRDefault="001875F5">
            <w:pPr>
              <w:pStyle w:val="TableParagraph"/>
              <w:rPr>
                <w:b/>
              </w:rPr>
            </w:pPr>
            <w:r>
              <w:rPr>
                <w:b/>
              </w:rPr>
              <w:t>Karen De Cleyn</w:t>
            </w:r>
          </w:p>
        </w:tc>
        <w:tc>
          <w:tcPr>
            <w:tcW w:w="5423" w:type="dxa"/>
          </w:tcPr>
          <w:p w14:paraId="115806E9" w14:textId="77777777" w:rsidR="001875F5" w:rsidRDefault="001875F5">
            <w:pPr>
              <w:pStyle w:val="TableParagraph"/>
            </w:pPr>
            <w:r>
              <w:t>De Lijn</w:t>
            </w:r>
          </w:p>
        </w:tc>
      </w:tr>
      <w:tr w:rsidR="001875F5" w14:paraId="6A55F37C" w14:textId="77777777">
        <w:trPr>
          <w:trHeight w:hRule="exact" w:val="278"/>
        </w:trPr>
        <w:tc>
          <w:tcPr>
            <w:tcW w:w="3596" w:type="dxa"/>
          </w:tcPr>
          <w:p w14:paraId="2350BC6F" w14:textId="77777777" w:rsidR="001875F5" w:rsidRDefault="001875F5">
            <w:pPr>
              <w:pStyle w:val="TableParagraph"/>
              <w:rPr>
                <w:b/>
              </w:rPr>
            </w:pPr>
            <w:r>
              <w:rPr>
                <w:b/>
              </w:rPr>
              <w:t>Erwin Fierens</w:t>
            </w:r>
          </w:p>
        </w:tc>
        <w:tc>
          <w:tcPr>
            <w:tcW w:w="5423" w:type="dxa"/>
          </w:tcPr>
          <w:p w14:paraId="6B59AD30" w14:textId="77777777" w:rsidR="001875F5" w:rsidRDefault="001875F5">
            <w:pPr>
              <w:pStyle w:val="TableParagraph"/>
            </w:pPr>
            <w:r>
              <w:t>De Lijn</w:t>
            </w:r>
          </w:p>
        </w:tc>
      </w:tr>
      <w:tr w:rsidR="001875F5" w14:paraId="78C79614" w14:textId="77777777">
        <w:trPr>
          <w:trHeight w:hRule="exact" w:val="278"/>
        </w:trPr>
        <w:tc>
          <w:tcPr>
            <w:tcW w:w="3596" w:type="dxa"/>
          </w:tcPr>
          <w:p w14:paraId="7E6ACF5C" w14:textId="77777777" w:rsidR="001875F5" w:rsidRDefault="001875F5">
            <w:pPr>
              <w:pStyle w:val="TableParagraph"/>
              <w:rPr>
                <w:b/>
              </w:rPr>
            </w:pPr>
            <w:r>
              <w:rPr>
                <w:b/>
              </w:rPr>
              <w:t>Jeroen Van Houtte</w:t>
            </w:r>
          </w:p>
        </w:tc>
        <w:tc>
          <w:tcPr>
            <w:tcW w:w="5423" w:type="dxa"/>
          </w:tcPr>
          <w:p w14:paraId="62A1EB2A" w14:textId="77777777" w:rsidR="001875F5" w:rsidRDefault="001875F5">
            <w:pPr>
              <w:pStyle w:val="TableParagraph"/>
            </w:pPr>
            <w:r>
              <w:t>BAM</w:t>
            </w:r>
          </w:p>
        </w:tc>
      </w:tr>
      <w:tr w:rsidR="001875F5" w14:paraId="3572487F" w14:textId="77777777">
        <w:trPr>
          <w:trHeight w:hRule="exact" w:val="279"/>
        </w:trPr>
        <w:tc>
          <w:tcPr>
            <w:tcW w:w="3596" w:type="dxa"/>
          </w:tcPr>
          <w:p w14:paraId="1BD565B8" w14:textId="77777777" w:rsidR="001875F5" w:rsidRDefault="001875F5">
            <w:pPr>
              <w:pStyle w:val="TableParagraph"/>
              <w:spacing w:line="268" w:lineRule="exact"/>
              <w:rPr>
                <w:b/>
              </w:rPr>
            </w:pPr>
            <w:r>
              <w:rPr>
                <w:b/>
              </w:rPr>
              <w:t>Ingrid Cattrel</w:t>
            </w:r>
          </w:p>
        </w:tc>
        <w:tc>
          <w:tcPr>
            <w:tcW w:w="5423" w:type="dxa"/>
          </w:tcPr>
          <w:p w14:paraId="64ABFF69" w14:textId="77777777" w:rsidR="001875F5" w:rsidRDefault="001875F5">
            <w:pPr>
              <w:pStyle w:val="TableParagraph"/>
              <w:spacing w:line="268" w:lineRule="exact"/>
            </w:pPr>
            <w:r>
              <w:t>BAM</w:t>
            </w:r>
          </w:p>
        </w:tc>
      </w:tr>
      <w:tr w:rsidR="001875F5" w14:paraId="1056127F" w14:textId="77777777">
        <w:trPr>
          <w:trHeight w:hRule="exact" w:val="278"/>
        </w:trPr>
        <w:tc>
          <w:tcPr>
            <w:tcW w:w="3596" w:type="dxa"/>
          </w:tcPr>
          <w:p w14:paraId="7C53F272" w14:textId="77777777" w:rsidR="001875F5" w:rsidRDefault="001875F5">
            <w:pPr>
              <w:pStyle w:val="TableParagraph"/>
              <w:spacing w:line="268" w:lineRule="exact"/>
              <w:rPr>
                <w:b/>
              </w:rPr>
            </w:pPr>
            <w:r>
              <w:rPr>
                <w:b/>
              </w:rPr>
              <w:t>Jan Buytaert</w:t>
            </w:r>
          </w:p>
        </w:tc>
        <w:tc>
          <w:tcPr>
            <w:tcW w:w="5423" w:type="dxa"/>
          </w:tcPr>
          <w:p w14:paraId="3B88F61A" w14:textId="77777777" w:rsidR="001875F5" w:rsidRDefault="001875F5">
            <w:pPr>
              <w:pStyle w:val="TableParagraph"/>
              <w:spacing w:line="268" w:lineRule="exact"/>
            </w:pPr>
            <w:r>
              <w:t>Haven van Antwerpen</w:t>
            </w:r>
          </w:p>
        </w:tc>
      </w:tr>
      <w:tr w:rsidR="001875F5" w14:paraId="22FAB8D4" w14:textId="77777777">
        <w:trPr>
          <w:trHeight w:hRule="exact" w:val="281"/>
        </w:trPr>
        <w:tc>
          <w:tcPr>
            <w:tcW w:w="3596" w:type="dxa"/>
          </w:tcPr>
          <w:p w14:paraId="51105DD0" w14:textId="77777777" w:rsidR="001875F5" w:rsidRDefault="001875F5">
            <w:pPr>
              <w:pStyle w:val="TableParagraph"/>
              <w:spacing w:line="268" w:lineRule="exact"/>
              <w:rPr>
                <w:b/>
              </w:rPr>
            </w:pPr>
            <w:r>
              <w:rPr>
                <w:b/>
              </w:rPr>
              <w:t>Candide De Bruyn</w:t>
            </w:r>
          </w:p>
        </w:tc>
        <w:tc>
          <w:tcPr>
            <w:tcW w:w="5423" w:type="dxa"/>
          </w:tcPr>
          <w:p w14:paraId="7BEBDFEE" w14:textId="77777777" w:rsidR="001875F5" w:rsidRDefault="001875F5">
            <w:pPr>
              <w:pStyle w:val="TableParagraph"/>
              <w:spacing w:line="268" w:lineRule="exact"/>
            </w:pPr>
            <w:r>
              <w:t>Haven van Antwerpen</w:t>
            </w:r>
          </w:p>
        </w:tc>
      </w:tr>
      <w:tr w:rsidR="001875F5" w14:paraId="63481E21" w14:textId="77777777">
        <w:trPr>
          <w:trHeight w:hRule="exact" w:val="278"/>
        </w:trPr>
        <w:tc>
          <w:tcPr>
            <w:tcW w:w="3596" w:type="dxa"/>
          </w:tcPr>
          <w:p w14:paraId="0791712A" w14:textId="77777777" w:rsidR="001875F5" w:rsidRDefault="001875F5">
            <w:pPr>
              <w:pStyle w:val="TableParagraph"/>
              <w:rPr>
                <w:b/>
              </w:rPr>
            </w:pPr>
            <w:r>
              <w:rPr>
                <w:b/>
              </w:rPr>
              <w:t>Annelien Peeraer</w:t>
            </w:r>
          </w:p>
        </w:tc>
        <w:tc>
          <w:tcPr>
            <w:tcW w:w="5423" w:type="dxa"/>
          </w:tcPr>
          <w:p w14:paraId="71AF0B0E" w14:textId="77777777" w:rsidR="001875F5" w:rsidRDefault="001875F5">
            <w:pPr>
              <w:pStyle w:val="TableParagraph"/>
            </w:pPr>
            <w:r>
              <w:t>Provincie Antwerpen</w:t>
            </w:r>
          </w:p>
        </w:tc>
      </w:tr>
      <w:tr w:rsidR="001875F5" w14:paraId="06145EC1" w14:textId="77777777">
        <w:trPr>
          <w:trHeight w:hRule="exact" w:val="278"/>
        </w:trPr>
        <w:tc>
          <w:tcPr>
            <w:tcW w:w="3596" w:type="dxa"/>
          </w:tcPr>
          <w:p w14:paraId="60B8D68A" w14:textId="77777777" w:rsidR="001875F5" w:rsidRDefault="001875F5">
            <w:pPr>
              <w:pStyle w:val="TableParagraph"/>
              <w:rPr>
                <w:b/>
              </w:rPr>
            </w:pPr>
            <w:r>
              <w:rPr>
                <w:b/>
              </w:rPr>
              <w:t>Dirk Engels</w:t>
            </w:r>
          </w:p>
        </w:tc>
        <w:tc>
          <w:tcPr>
            <w:tcW w:w="5423" w:type="dxa"/>
          </w:tcPr>
          <w:p w14:paraId="2E0B6452" w14:textId="77777777" w:rsidR="001875F5" w:rsidRDefault="001875F5">
            <w:pPr>
              <w:pStyle w:val="TableParagraph"/>
            </w:pPr>
            <w:r>
              <w:t>TML (Satellite)</w:t>
            </w:r>
          </w:p>
        </w:tc>
      </w:tr>
      <w:tr w:rsidR="001875F5" w14:paraId="50C4566D" w14:textId="77777777">
        <w:trPr>
          <w:trHeight w:hRule="exact" w:val="278"/>
        </w:trPr>
        <w:tc>
          <w:tcPr>
            <w:tcW w:w="3596" w:type="dxa"/>
          </w:tcPr>
          <w:p w14:paraId="5683D818" w14:textId="77777777" w:rsidR="001875F5" w:rsidRDefault="001875F5">
            <w:pPr>
              <w:pStyle w:val="TableParagraph"/>
              <w:rPr>
                <w:b/>
              </w:rPr>
            </w:pPr>
            <w:r>
              <w:rPr>
                <w:b/>
              </w:rPr>
              <w:t>Freya De Muynck</w:t>
            </w:r>
          </w:p>
        </w:tc>
        <w:tc>
          <w:tcPr>
            <w:tcW w:w="5423" w:type="dxa"/>
          </w:tcPr>
          <w:p w14:paraId="1B060396" w14:textId="77777777" w:rsidR="001875F5" w:rsidRDefault="001875F5">
            <w:pPr>
              <w:pStyle w:val="TableParagraph"/>
            </w:pPr>
            <w:r>
              <w:t>Traject</w:t>
            </w:r>
          </w:p>
        </w:tc>
      </w:tr>
      <w:tr w:rsidR="001875F5" w14:paraId="38C153B0" w14:textId="77777777">
        <w:trPr>
          <w:trHeight w:hRule="exact" w:val="278"/>
        </w:trPr>
        <w:tc>
          <w:tcPr>
            <w:tcW w:w="3596" w:type="dxa"/>
          </w:tcPr>
          <w:p w14:paraId="173471A3" w14:textId="77777777" w:rsidR="001875F5" w:rsidRDefault="001875F5">
            <w:pPr>
              <w:pStyle w:val="TableParagraph"/>
              <w:rPr>
                <w:b/>
              </w:rPr>
            </w:pPr>
            <w:r>
              <w:rPr>
                <w:b/>
              </w:rPr>
              <w:t>Kirsi Suutarinen</w:t>
            </w:r>
          </w:p>
        </w:tc>
        <w:tc>
          <w:tcPr>
            <w:tcW w:w="5423" w:type="dxa"/>
          </w:tcPr>
          <w:p w14:paraId="51F82C1E" w14:textId="77777777" w:rsidR="001875F5" w:rsidRDefault="001875F5">
            <w:pPr>
              <w:pStyle w:val="TableParagraph"/>
            </w:pPr>
            <w:r>
              <w:t>Traject</w:t>
            </w:r>
          </w:p>
        </w:tc>
      </w:tr>
      <w:tr w:rsidR="001875F5" w14:paraId="01C22888" w14:textId="77777777">
        <w:trPr>
          <w:trHeight w:hRule="exact" w:val="278"/>
        </w:trPr>
        <w:tc>
          <w:tcPr>
            <w:tcW w:w="3596" w:type="dxa"/>
          </w:tcPr>
          <w:p w14:paraId="6BB46A24" w14:textId="77777777" w:rsidR="001875F5" w:rsidRDefault="001875F5">
            <w:pPr>
              <w:pStyle w:val="TableParagraph"/>
              <w:rPr>
                <w:b/>
              </w:rPr>
            </w:pPr>
            <w:r>
              <w:rPr>
                <w:b/>
              </w:rPr>
              <w:t>Helena De Bruycker</w:t>
            </w:r>
          </w:p>
        </w:tc>
        <w:tc>
          <w:tcPr>
            <w:tcW w:w="5423" w:type="dxa"/>
          </w:tcPr>
          <w:p w14:paraId="0358D3CE" w14:textId="77777777" w:rsidR="001875F5" w:rsidRDefault="001875F5">
            <w:pPr>
              <w:pStyle w:val="TableParagraph"/>
            </w:pPr>
            <w:r>
              <w:t>Traject</w:t>
            </w:r>
          </w:p>
        </w:tc>
      </w:tr>
      <w:tr w:rsidR="001875F5" w14:paraId="35E8C3BF" w14:textId="77777777">
        <w:trPr>
          <w:trHeight w:hRule="exact" w:val="278"/>
        </w:trPr>
        <w:tc>
          <w:tcPr>
            <w:tcW w:w="3596" w:type="dxa"/>
          </w:tcPr>
          <w:p w14:paraId="1099A0B5" w14:textId="77777777" w:rsidR="001875F5" w:rsidRDefault="001875F5">
            <w:pPr>
              <w:pStyle w:val="TableParagraph"/>
              <w:rPr>
                <w:b/>
              </w:rPr>
            </w:pPr>
            <w:r>
              <w:rPr>
                <w:b/>
              </w:rPr>
              <w:t>Bram Bruggeman</w:t>
            </w:r>
          </w:p>
        </w:tc>
        <w:tc>
          <w:tcPr>
            <w:tcW w:w="5423" w:type="dxa"/>
          </w:tcPr>
          <w:p w14:paraId="70B6F52D" w14:textId="77777777" w:rsidR="001875F5" w:rsidRDefault="001875F5">
            <w:pPr>
              <w:pStyle w:val="TableParagraph"/>
            </w:pPr>
            <w:r>
              <w:t>Traject</w:t>
            </w:r>
          </w:p>
        </w:tc>
      </w:tr>
    </w:tbl>
    <w:p w14:paraId="3DAA4EBA" w14:textId="77777777" w:rsidR="001875F5" w:rsidRDefault="001875F5">
      <w:pPr>
        <w:pStyle w:val="BodyText"/>
        <w:ind w:left="0"/>
        <w:rPr>
          <w:rFonts w:ascii="Calibri Light"/>
          <w:sz w:val="20"/>
        </w:rPr>
      </w:pPr>
    </w:p>
    <w:p w14:paraId="5D8E1699" w14:textId="77777777" w:rsidR="001875F5" w:rsidRDefault="001875F5">
      <w:pPr>
        <w:spacing w:before="35"/>
        <w:ind w:left="240"/>
        <w:jc w:val="both"/>
        <w:rPr>
          <w:rFonts w:ascii="Calibri Light"/>
          <w:sz w:val="32"/>
        </w:rPr>
      </w:pPr>
      <w:r>
        <w:rPr>
          <w:rFonts w:ascii="Calibri Light"/>
          <w:color w:val="2D74B5"/>
          <w:sz w:val="32"/>
        </w:rPr>
        <w:t>Purpose of the meeting</w:t>
      </w:r>
    </w:p>
    <w:p w14:paraId="7C23BD81" w14:textId="77777777" w:rsidR="001875F5" w:rsidRDefault="001875F5" w:rsidP="001875F5">
      <w:pPr>
        <w:pStyle w:val="BodyText"/>
        <w:spacing w:line="259" w:lineRule="auto"/>
        <w:ind w:left="240" w:right="252"/>
        <w:jc w:val="both"/>
      </w:pPr>
    </w:p>
    <w:p w14:paraId="017125B5" w14:textId="31F41704" w:rsidR="001875F5" w:rsidRDefault="001875F5" w:rsidP="001875F5">
      <w:pPr>
        <w:pStyle w:val="BodyText"/>
        <w:spacing w:line="259" w:lineRule="auto"/>
        <w:ind w:left="240" w:right="252"/>
        <w:jc w:val="both"/>
      </w:pPr>
      <w:r>
        <w:t>On a trimestral basis a meeting with all local stakeholders / measure leaders is organized in Antwerp. During the meeting, all measure leaders report on the state of the art of the measure. In the meeting of 14</w:t>
      </w:r>
      <w:r>
        <w:rPr>
          <w:position w:val="8"/>
          <w:sz w:val="14"/>
        </w:rPr>
        <w:t xml:space="preserve">th </w:t>
      </w:r>
      <w:r>
        <w:t>of February, the scope of the meeting had been changed: a set of trends was presented to the stakeholders. In small groups, measure leaders were invited to brainstorm about what could explain those trends. The input from the participants will mainly be used as input for the City level MER but also taken into account when writing the measure-related MER and PER documents in the CIVITAS PORTIS project. As a follow-up to this workshop, one on one calls or meetings are scheduled with all measure leaders.</w:t>
      </w:r>
    </w:p>
    <w:p w14:paraId="6CC034F1" w14:textId="77777777" w:rsidR="001875F5" w:rsidRDefault="001875F5">
      <w:pPr>
        <w:pStyle w:val="BodyText"/>
        <w:spacing w:before="6"/>
        <w:ind w:left="0"/>
        <w:rPr>
          <w:sz w:val="19"/>
        </w:rPr>
      </w:pPr>
    </w:p>
    <w:p w14:paraId="24BBF77E" w14:textId="77777777" w:rsidR="001875F5" w:rsidRDefault="001875F5">
      <w:pPr>
        <w:pStyle w:val="Heading2"/>
        <w:spacing w:before="1"/>
      </w:pPr>
      <w:r>
        <w:rPr>
          <w:color w:val="2D74B5"/>
        </w:rPr>
        <w:t>Trends</w:t>
      </w:r>
    </w:p>
    <w:p w14:paraId="5A12580A" w14:textId="77777777" w:rsidR="001875F5" w:rsidRDefault="001875F5">
      <w:pPr>
        <w:pStyle w:val="BodyText"/>
        <w:spacing w:before="6"/>
        <w:ind w:left="0"/>
        <w:rPr>
          <w:rFonts w:ascii="Calibri Light"/>
          <w:sz w:val="39"/>
        </w:rPr>
      </w:pPr>
    </w:p>
    <w:p w14:paraId="0CC86B7A" w14:textId="77777777" w:rsidR="001875F5" w:rsidRDefault="001875F5">
      <w:pPr>
        <w:pStyle w:val="BodyText"/>
        <w:ind w:left="240"/>
      </w:pPr>
      <w:r>
        <w:t>For more details on trends, please see the PowerPoint presentation.</w:t>
      </w:r>
    </w:p>
    <w:p w14:paraId="7FCFD3C0" w14:textId="77777777" w:rsidR="001875F5" w:rsidRDefault="001875F5">
      <w:pPr>
        <w:pStyle w:val="BodyText"/>
        <w:spacing w:before="9"/>
        <w:ind w:left="0"/>
        <w:rPr>
          <w:sz w:val="11"/>
        </w:rPr>
      </w:pPr>
      <w:r>
        <w:rPr>
          <w:noProof/>
          <w:lang w:val="en-GB" w:eastAsia="en-GB"/>
        </w:rPr>
        <w:drawing>
          <wp:anchor distT="0" distB="0" distL="0" distR="0" simplePos="0" relativeHeight="251659264" behindDoc="0" locked="0" layoutInCell="1" allowOverlap="1" wp14:anchorId="4E81151D" wp14:editId="4913DADE">
            <wp:simplePos x="0" y="0"/>
            <wp:positionH relativeFrom="page">
              <wp:posOffset>914400</wp:posOffset>
            </wp:positionH>
            <wp:positionV relativeFrom="paragraph">
              <wp:posOffset>116152</wp:posOffset>
            </wp:positionV>
            <wp:extent cx="5774657" cy="1992915"/>
            <wp:effectExtent l="0" t="0" r="0" b="0"/>
            <wp:wrapTopAndBottom/>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7" cstate="print"/>
                    <a:stretch>
                      <a:fillRect/>
                    </a:stretch>
                  </pic:blipFill>
                  <pic:spPr>
                    <a:xfrm>
                      <a:off x="0" y="0"/>
                      <a:ext cx="5774657" cy="1992915"/>
                    </a:xfrm>
                    <a:prstGeom prst="rect">
                      <a:avLst/>
                    </a:prstGeom>
                  </pic:spPr>
                </pic:pic>
              </a:graphicData>
            </a:graphic>
          </wp:anchor>
        </w:drawing>
      </w:r>
    </w:p>
    <w:p w14:paraId="62FB61F0" w14:textId="77777777" w:rsidR="001875F5" w:rsidRDefault="001875F5">
      <w:pPr>
        <w:pStyle w:val="BodyText"/>
        <w:spacing w:before="10"/>
        <w:ind w:left="0"/>
        <w:rPr>
          <w:sz w:val="16"/>
        </w:rPr>
      </w:pPr>
    </w:p>
    <w:p w14:paraId="60E91152" w14:textId="77777777" w:rsidR="001875F5" w:rsidRDefault="001875F5">
      <w:pPr>
        <w:pStyle w:val="Heading2"/>
      </w:pPr>
      <w:r>
        <w:rPr>
          <w:color w:val="2D74B5"/>
        </w:rPr>
        <w:t>Summary of results</w:t>
      </w:r>
    </w:p>
    <w:p w14:paraId="684A6E86" w14:textId="77777777" w:rsidR="001875F5" w:rsidRDefault="001875F5">
      <w:pPr>
        <w:pStyle w:val="BodyText"/>
        <w:spacing w:before="8"/>
        <w:ind w:left="0"/>
        <w:rPr>
          <w:rFonts w:ascii="Calibri Light"/>
          <w:sz w:val="39"/>
        </w:rPr>
      </w:pPr>
    </w:p>
    <w:p w14:paraId="0A7EEE90" w14:textId="77777777" w:rsidR="001875F5" w:rsidRDefault="001875F5">
      <w:pPr>
        <w:pStyle w:val="Heading3"/>
        <w:spacing w:before="1"/>
      </w:pPr>
      <w:r>
        <w:rPr>
          <w:color w:val="2D74B5"/>
        </w:rPr>
        <w:t>Car</w:t>
      </w:r>
    </w:p>
    <w:p w14:paraId="4292C2A9" w14:textId="77777777" w:rsidR="001875F5" w:rsidRDefault="001875F5">
      <w:pPr>
        <w:pStyle w:val="BodyText"/>
        <w:spacing w:before="8"/>
        <w:ind w:left="0"/>
        <w:rPr>
          <w:rFonts w:ascii="Calibri Light"/>
          <w:sz w:val="38"/>
        </w:rPr>
      </w:pPr>
    </w:p>
    <w:p w14:paraId="134297A7" w14:textId="77777777" w:rsidR="001875F5" w:rsidRDefault="001875F5">
      <w:pPr>
        <w:pStyle w:val="BodyText"/>
        <w:spacing w:line="400" w:lineRule="auto"/>
        <w:ind w:left="240" w:right="4764"/>
      </w:pPr>
      <w:r>
        <w:t>The trends in car use were defined in 4 categories: Spatial ‘shift’ in intensities:</w:t>
      </w:r>
    </w:p>
    <w:p w14:paraId="7CC0955D" w14:textId="77777777" w:rsidR="001875F5" w:rsidRDefault="001875F5" w:rsidP="001875F5">
      <w:pPr>
        <w:pStyle w:val="ListParagraph"/>
        <w:widowControl w:val="0"/>
        <w:numPr>
          <w:ilvl w:val="0"/>
          <w:numId w:val="17"/>
        </w:numPr>
        <w:tabs>
          <w:tab w:val="left" w:pos="961"/>
        </w:tabs>
        <w:spacing w:before="3"/>
        <w:contextualSpacing w:val="0"/>
      </w:pPr>
      <w:r>
        <w:t>Road works and buffering of cars towards the city on the Charles De</w:t>
      </w:r>
      <w:r>
        <w:rPr>
          <w:spacing w:val="-20"/>
        </w:rPr>
        <w:t xml:space="preserve"> </w:t>
      </w:r>
      <w:r>
        <w:t>Costerlaan</w:t>
      </w:r>
    </w:p>
    <w:p w14:paraId="032F1DBB" w14:textId="77777777" w:rsidR="001875F5" w:rsidRDefault="001875F5" w:rsidP="001875F5">
      <w:pPr>
        <w:pStyle w:val="ListParagraph"/>
        <w:widowControl w:val="0"/>
        <w:numPr>
          <w:ilvl w:val="0"/>
          <w:numId w:val="17"/>
        </w:numPr>
        <w:tabs>
          <w:tab w:val="left" w:pos="961"/>
        </w:tabs>
        <w:contextualSpacing w:val="0"/>
      </w:pPr>
      <w:r>
        <w:t>Rerouting of traffic around</w:t>
      </w:r>
      <w:r>
        <w:rPr>
          <w:spacing w:val="-3"/>
        </w:rPr>
        <w:t xml:space="preserve"> </w:t>
      </w:r>
      <w:r>
        <w:t>Antwerp</w:t>
      </w:r>
    </w:p>
    <w:p w14:paraId="419435AC" w14:textId="77777777" w:rsidR="001875F5" w:rsidRDefault="001875F5">
      <w:pPr>
        <w:pStyle w:val="BodyText"/>
        <w:ind w:left="0"/>
        <w:rPr>
          <w:sz w:val="24"/>
        </w:rPr>
      </w:pPr>
    </w:p>
    <w:p w14:paraId="6DDBDDCD" w14:textId="77777777" w:rsidR="001875F5" w:rsidRDefault="001875F5">
      <w:pPr>
        <w:pStyle w:val="BodyText"/>
        <w:spacing w:before="156"/>
        <w:ind w:left="240"/>
      </w:pPr>
      <w:r>
        <w:t>Traffic towards and out of the city centre has dropped:</w:t>
      </w:r>
    </w:p>
    <w:p w14:paraId="26D8FBE8" w14:textId="77777777" w:rsidR="001875F5" w:rsidRDefault="001875F5" w:rsidP="001875F5">
      <w:pPr>
        <w:pStyle w:val="ListParagraph"/>
        <w:widowControl w:val="0"/>
        <w:numPr>
          <w:ilvl w:val="0"/>
          <w:numId w:val="17"/>
        </w:numPr>
        <w:tabs>
          <w:tab w:val="left" w:pos="961"/>
        </w:tabs>
        <w:spacing w:before="180"/>
        <w:contextualSpacing w:val="0"/>
      </w:pPr>
      <w:r>
        <w:t>Low Emission Zone in combination with free parking outside the ring</w:t>
      </w:r>
      <w:r>
        <w:rPr>
          <w:spacing w:val="-24"/>
        </w:rPr>
        <w:t xml:space="preserve"> </w:t>
      </w:r>
      <w:r>
        <w:t>road</w:t>
      </w:r>
    </w:p>
    <w:p w14:paraId="6D44C5A0" w14:textId="77777777" w:rsidR="001875F5" w:rsidRDefault="001875F5" w:rsidP="001875F5">
      <w:pPr>
        <w:pStyle w:val="ListParagraph"/>
        <w:widowControl w:val="0"/>
        <w:numPr>
          <w:ilvl w:val="0"/>
          <w:numId w:val="17"/>
        </w:numPr>
        <w:tabs>
          <w:tab w:val="left" w:pos="961"/>
        </w:tabs>
        <w:ind w:right="406"/>
        <w:contextualSpacing w:val="0"/>
      </w:pPr>
      <w:r>
        <w:t>An increase in favour of train use towards the city. On top of that, more working spaces are located on easily accessible</w:t>
      </w:r>
      <w:r>
        <w:rPr>
          <w:spacing w:val="-6"/>
        </w:rPr>
        <w:t xml:space="preserve"> </w:t>
      </w:r>
      <w:r>
        <w:t>locations.</w:t>
      </w:r>
    </w:p>
    <w:p w14:paraId="025E7CDF" w14:textId="77777777" w:rsidR="001875F5" w:rsidRDefault="001875F5">
      <w:pPr>
        <w:pStyle w:val="BodyText"/>
        <w:ind w:left="0"/>
      </w:pPr>
    </w:p>
    <w:p w14:paraId="7DE9204B" w14:textId="77777777" w:rsidR="001875F5" w:rsidRDefault="001875F5">
      <w:pPr>
        <w:pStyle w:val="BodyText"/>
        <w:spacing w:before="180"/>
        <w:ind w:left="240"/>
      </w:pPr>
      <w:r>
        <w:t>The modal share of cars in the city remains on the same level:</w:t>
      </w:r>
    </w:p>
    <w:p w14:paraId="7388E0AB" w14:textId="77777777" w:rsidR="001875F5" w:rsidRDefault="001875F5" w:rsidP="001875F5">
      <w:pPr>
        <w:pStyle w:val="ListParagraph"/>
        <w:widowControl w:val="0"/>
        <w:numPr>
          <w:ilvl w:val="0"/>
          <w:numId w:val="17"/>
        </w:numPr>
        <w:tabs>
          <w:tab w:val="left" w:pos="961"/>
        </w:tabs>
        <w:spacing w:before="183"/>
        <w:ind w:right="269"/>
        <w:contextualSpacing w:val="0"/>
      </w:pPr>
      <w:r>
        <w:t>Participants believe that people will not renounce their car quickly because of the comfort of having one and the invisible costs involved. On top of that, car sharing is perceived very expensive.</w:t>
      </w:r>
    </w:p>
    <w:p w14:paraId="652007F7" w14:textId="77777777" w:rsidR="001875F5" w:rsidRDefault="001875F5" w:rsidP="001875F5">
      <w:pPr>
        <w:pStyle w:val="ListParagraph"/>
        <w:widowControl w:val="0"/>
        <w:numPr>
          <w:ilvl w:val="0"/>
          <w:numId w:val="17"/>
        </w:numPr>
        <w:tabs>
          <w:tab w:val="left" w:pos="961"/>
        </w:tabs>
        <w:ind w:right="856"/>
        <w:contextualSpacing w:val="0"/>
      </w:pPr>
      <w:r>
        <w:t>In addition, our special planning and housing permits enhance car ownership (minimal parking spaces per house or office</w:t>
      </w:r>
      <w:r>
        <w:rPr>
          <w:spacing w:val="-18"/>
        </w:rPr>
        <w:t xml:space="preserve"> </w:t>
      </w:r>
      <w:r>
        <w:t>space).</w:t>
      </w:r>
    </w:p>
    <w:p w14:paraId="18DE74B6" w14:textId="77777777" w:rsidR="001875F5" w:rsidRDefault="001875F5" w:rsidP="001875F5">
      <w:pPr>
        <w:pStyle w:val="ListParagraph"/>
        <w:widowControl w:val="0"/>
        <w:numPr>
          <w:ilvl w:val="0"/>
          <w:numId w:val="17"/>
        </w:numPr>
        <w:tabs>
          <w:tab w:val="left" w:pos="961"/>
        </w:tabs>
        <w:contextualSpacing w:val="0"/>
      </w:pPr>
      <w:r>
        <w:t>Modal shift is mainly for non-recurrent trips and not for everyday trips such as</w:t>
      </w:r>
      <w:r>
        <w:rPr>
          <w:spacing w:val="-31"/>
        </w:rPr>
        <w:t xml:space="preserve"> </w:t>
      </w:r>
      <w:r>
        <w:t>commuting.</w:t>
      </w:r>
    </w:p>
    <w:p w14:paraId="293025C3" w14:textId="77777777" w:rsidR="001875F5" w:rsidRDefault="001875F5" w:rsidP="001875F5">
      <w:pPr>
        <w:pStyle w:val="ListParagraph"/>
        <w:widowControl w:val="0"/>
        <w:numPr>
          <w:ilvl w:val="0"/>
          <w:numId w:val="17"/>
        </w:numPr>
        <w:tabs>
          <w:tab w:val="left" w:pos="961"/>
        </w:tabs>
        <w:spacing w:before="9" w:line="266" w:lineRule="exact"/>
        <w:ind w:right="747"/>
        <w:contextualSpacing w:val="0"/>
      </w:pPr>
      <w:r>
        <w:t>The modal share of cars is expected to decrease but participants think this is happening slower than initially was thought. Deeply rooted behaviour is often hard to</w:t>
      </w:r>
      <w:r>
        <w:rPr>
          <w:spacing w:val="-22"/>
        </w:rPr>
        <w:t xml:space="preserve"> </w:t>
      </w:r>
      <w:r>
        <w:t>change.</w:t>
      </w:r>
    </w:p>
    <w:p w14:paraId="372573CC" w14:textId="77777777" w:rsidR="001875F5" w:rsidRDefault="001875F5">
      <w:pPr>
        <w:spacing w:line="266" w:lineRule="exact"/>
        <w:sectPr w:rsidR="001875F5" w:rsidSect="00C27909">
          <w:headerReference w:type="default" r:id="rId18"/>
          <w:pgSz w:w="11910" w:h="16840"/>
          <w:pgMar w:top="1200" w:right="1180" w:bottom="1200" w:left="1200" w:header="283" w:footer="1003" w:gutter="0"/>
          <w:cols w:space="720"/>
          <w:docGrid w:linePitch="299"/>
        </w:sectPr>
      </w:pPr>
    </w:p>
    <w:p w14:paraId="32D8174D" w14:textId="77777777" w:rsidR="001875F5" w:rsidRDefault="001875F5">
      <w:pPr>
        <w:pStyle w:val="BodyText"/>
        <w:spacing w:before="8"/>
        <w:ind w:left="0"/>
        <w:rPr>
          <w:sz w:val="13"/>
        </w:rPr>
      </w:pPr>
    </w:p>
    <w:p w14:paraId="2702B5AC" w14:textId="77777777" w:rsidR="001875F5" w:rsidRDefault="001875F5">
      <w:pPr>
        <w:pStyle w:val="BodyText"/>
        <w:spacing w:before="56"/>
        <w:ind w:left="240"/>
      </w:pPr>
      <w:r>
        <w:t>Car use in the port:</w:t>
      </w:r>
    </w:p>
    <w:p w14:paraId="2E005303" w14:textId="77777777" w:rsidR="001875F5" w:rsidRDefault="001875F5" w:rsidP="001875F5">
      <w:pPr>
        <w:pStyle w:val="ListParagraph"/>
        <w:widowControl w:val="0"/>
        <w:numPr>
          <w:ilvl w:val="0"/>
          <w:numId w:val="17"/>
        </w:numPr>
        <w:tabs>
          <w:tab w:val="left" w:pos="961"/>
        </w:tabs>
        <w:spacing w:before="181"/>
        <w:ind w:right="504"/>
        <w:contextualSpacing w:val="0"/>
      </w:pPr>
      <w:r>
        <w:t>Car use in the port can be expected to drop because of the increasing popularity of cycling and other initiatives such as the bike bus and the water</w:t>
      </w:r>
      <w:r>
        <w:rPr>
          <w:spacing w:val="-20"/>
        </w:rPr>
        <w:t xml:space="preserve"> </w:t>
      </w:r>
      <w:r>
        <w:t>bus.</w:t>
      </w:r>
    </w:p>
    <w:p w14:paraId="5D7D7786" w14:textId="77777777" w:rsidR="001875F5" w:rsidRDefault="001875F5" w:rsidP="001875F5">
      <w:pPr>
        <w:pStyle w:val="ListParagraph"/>
        <w:widowControl w:val="0"/>
        <w:numPr>
          <w:ilvl w:val="0"/>
          <w:numId w:val="17"/>
        </w:numPr>
        <w:tabs>
          <w:tab w:val="left" w:pos="961"/>
        </w:tabs>
        <w:ind w:right="1236"/>
        <w:contextualSpacing w:val="0"/>
      </w:pPr>
      <w:r>
        <w:t>‘Threats’ or ‘weaknesses’ are the shift hours in which a large part of the employee population has to work, and the long home to work</w:t>
      </w:r>
      <w:r>
        <w:rPr>
          <w:spacing w:val="-20"/>
        </w:rPr>
        <w:t xml:space="preserve"> </w:t>
      </w:r>
      <w:r>
        <w:t>distances.</w:t>
      </w:r>
    </w:p>
    <w:p w14:paraId="315F3CED" w14:textId="77777777" w:rsidR="001875F5" w:rsidRDefault="001875F5" w:rsidP="001875F5">
      <w:pPr>
        <w:pStyle w:val="ListParagraph"/>
        <w:widowControl w:val="0"/>
        <w:numPr>
          <w:ilvl w:val="0"/>
          <w:numId w:val="17"/>
        </w:numPr>
        <w:tabs>
          <w:tab w:val="left" w:pos="961"/>
        </w:tabs>
        <w:ind w:right="368"/>
        <w:contextualSpacing w:val="0"/>
      </w:pPr>
      <w:r>
        <w:t>The left bank of the port is more attractive to cycle than the right bank largely due to better infrastructure. Since the introduction of the cycle bus, the situation has improved on the right bank as well (a detour of 15 km is no longer necessary) but the left bank still remains better</w:t>
      </w:r>
      <w:r>
        <w:rPr>
          <w:spacing w:val="-4"/>
        </w:rPr>
        <w:t xml:space="preserve"> </w:t>
      </w:r>
      <w:r>
        <w:t>accessible.</w:t>
      </w:r>
    </w:p>
    <w:p w14:paraId="2DB1237F" w14:textId="77777777" w:rsidR="001875F5" w:rsidRDefault="001875F5">
      <w:pPr>
        <w:pStyle w:val="BodyText"/>
        <w:spacing w:before="7"/>
        <w:ind w:left="0"/>
        <w:rPr>
          <w:sz w:val="25"/>
        </w:rPr>
      </w:pPr>
    </w:p>
    <w:p w14:paraId="7FAB78FA" w14:textId="77777777" w:rsidR="001875F5" w:rsidRDefault="001875F5">
      <w:pPr>
        <w:pStyle w:val="Heading3"/>
        <w:spacing w:before="0"/>
      </w:pPr>
      <w:r>
        <w:rPr>
          <w:color w:val="2D74B5"/>
        </w:rPr>
        <w:t>Public transport</w:t>
      </w:r>
    </w:p>
    <w:p w14:paraId="704D17B6" w14:textId="77777777" w:rsidR="001875F5" w:rsidRDefault="001875F5">
      <w:pPr>
        <w:pStyle w:val="BodyText"/>
        <w:spacing w:before="8"/>
        <w:ind w:left="0"/>
        <w:rPr>
          <w:rFonts w:ascii="Calibri Light"/>
          <w:sz w:val="38"/>
        </w:rPr>
      </w:pPr>
    </w:p>
    <w:p w14:paraId="58939BEC" w14:textId="77777777" w:rsidR="001875F5" w:rsidRDefault="001875F5">
      <w:pPr>
        <w:pStyle w:val="BodyText"/>
        <w:spacing w:line="259" w:lineRule="auto"/>
        <w:ind w:left="240" w:right="644"/>
      </w:pPr>
      <w:r>
        <w:t>With regard to public transport, participants explained the drop in bus/tram/metro use resulting from several factors:</w:t>
      </w:r>
    </w:p>
    <w:p w14:paraId="31D1A1D9" w14:textId="77777777" w:rsidR="001875F5" w:rsidRDefault="001875F5" w:rsidP="001875F5">
      <w:pPr>
        <w:pStyle w:val="ListParagraph"/>
        <w:widowControl w:val="0"/>
        <w:numPr>
          <w:ilvl w:val="0"/>
          <w:numId w:val="17"/>
        </w:numPr>
        <w:tabs>
          <w:tab w:val="left" w:pos="961"/>
        </w:tabs>
        <w:spacing w:before="159"/>
        <w:ind w:right="325"/>
        <w:contextualSpacing w:val="0"/>
      </w:pPr>
      <w:r>
        <w:t>Modal shift towards train and bike use: trains offer a higher frequency and more quality and are faster, while bikes have become increasingly more comfortable and more easily accessible; financially (via bike lease) and physically (everywhere in Antwerp there are bike sharing stations or</w:t>
      </w:r>
      <w:r>
        <w:rPr>
          <w:spacing w:val="-14"/>
        </w:rPr>
        <w:t xml:space="preserve"> </w:t>
      </w:r>
      <w:r>
        <w:t>bikes).</w:t>
      </w:r>
    </w:p>
    <w:p w14:paraId="523AD800" w14:textId="77777777" w:rsidR="001875F5" w:rsidRDefault="001875F5" w:rsidP="001875F5">
      <w:pPr>
        <w:pStyle w:val="ListParagraph"/>
        <w:widowControl w:val="0"/>
        <w:numPr>
          <w:ilvl w:val="0"/>
          <w:numId w:val="17"/>
        </w:numPr>
        <w:tabs>
          <w:tab w:val="left" w:pos="961"/>
        </w:tabs>
        <w:spacing w:before="9" w:line="266" w:lineRule="exact"/>
        <w:ind w:right="562"/>
        <w:contextualSpacing w:val="0"/>
      </w:pPr>
      <w:r>
        <w:t>Secondly, the bus has a negative perception: it is old fashioned, and on top of that people feel like it has a considerable financial</w:t>
      </w:r>
      <w:r>
        <w:rPr>
          <w:spacing w:val="-15"/>
        </w:rPr>
        <w:t xml:space="preserve"> </w:t>
      </w:r>
      <w:r>
        <w:t>cost.</w:t>
      </w:r>
    </w:p>
    <w:p w14:paraId="367D4D7E" w14:textId="77777777" w:rsidR="001875F5" w:rsidRDefault="001875F5" w:rsidP="001875F5">
      <w:pPr>
        <w:pStyle w:val="ListParagraph"/>
        <w:widowControl w:val="0"/>
        <w:numPr>
          <w:ilvl w:val="0"/>
          <w:numId w:val="17"/>
        </w:numPr>
        <w:tabs>
          <w:tab w:val="left" w:pos="961"/>
        </w:tabs>
        <w:spacing w:before="6"/>
        <w:ind w:right="375"/>
        <w:contextualSpacing w:val="0"/>
      </w:pPr>
      <w:r>
        <w:t>Context factors in Antwerp: the large road works in and around the city, and the creation of a bus hub where people had to transfer (and felt unsafe) do not encourage people to use public</w:t>
      </w:r>
      <w:r>
        <w:rPr>
          <w:spacing w:val="-4"/>
        </w:rPr>
        <w:t xml:space="preserve"> </w:t>
      </w:r>
      <w:r>
        <w:t>transport.</w:t>
      </w:r>
    </w:p>
    <w:p w14:paraId="0012BE48" w14:textId="77777777" w:rsidR="001875F5" w:rsidRDefault="001875F5">
      <w:pPr>
        <w:pStyle w:val="BodyText"/>
        <w:ind w:left="0"/>
      </w:pPr>
    </w:p>
    <w:p w14:paraId="6A1A8C06" w14:textId="77777777" w:rsidR="001875F5" w:rsidRDefault="001875F5">
      <w:pPr>
        <w:pStyle w:val="BodyText"/>
        <w:spacing w:before="180" w:line="259" w:lineRule="auto"/>
        <w:ind w:left="240" w:right="520"/>
      </w:pPr>
      <w:r>
        <w:t>De Lijn wanted to emphasize that they do not have an insight into the tickets which are being sold via SMS and via the app. 2018 was a transition year, and they hope to have the numbers in 2019.</w:t>
      </w:r>
    </w:p>
    <w:p w14:paraId="177AA10B" w14:textId="77777777" w:rsidR="001875F5" w:rsidRDefault="001875F5">
      <w:pPr>
        <w:pStyle w:val="BodyText"/>
        <w:spacing w:before="159"/>
        <w:ind w:left="240"/>
      </w:pPr>
      <w:r>
        <w:t>In terms of possible solutions, participants concluded the following:</w:t>
      </w:r>
    </w:p>
    <w:p w14:paraId="5680E276" w14:textId="77777777" w:rsidR="001875F5" w:rsidRDefault="001875F5">
      <w:pPr>
        <w:pStyle w:val="BodyText"/>
        <w:spacing w:before="5"/>
        <w:ind w:left="0"/>
        <w:rPr>
          <w:sz w:val="17"/>
        </w:rPr>
      </w:pPr>
    </w:p>
    <w:p w14:paraId="297C9CF0" w14:textId="77777777" w:rsidR="001875F5" w:rsidRDefault="001875F5" w:rsidP="001875F5">
      <w:pPr>
        <w:pStyle w:val="ListParagraph"/>
        <w:widowControl w:val="0"/>
        <w:numPr>
          <w:ilvl w:val="0"/>
          <w:numId w:val="17"/>
        </w:numPr>
        <w:tabs>
          <w:tab w:val="left" w:pos="961"/>
        </w:tabs>
        <w:spacing w:line="266" w:lineRule="exact"/>
        <w:ind w:right="350"/>
        <w:contextualSpacing w:val="0"/>
        <w:rPr>
          <w:sz w:val="24"/>
        </w:rPr>
      </w:pPr>
      <w:r>
        <w:t>There should be more transparency on real-time info: public transport often arrives too late or not all, which causes frustration among</w:t>
      </w:r>
      <w:r>
        <w:rPr>
          <w:spacing w:val="-21"/>
        </w:rPr>
        <w:t xml:space="preserve"> </w:t>
      </w:r>
      <w:r>
        <w:t>users.</w:t>
      </w:r>
    </w:p>
    <w:p w14:paraId="2C9D7563" w14:textId="77777777" w:rsidR="001875F5" w:rsidRDefault="001875F5" w:rsidP="001875F5">
      <w:pPr>
        <w:pStyle w:val="ListParagraph"/>
        <w:widowControl w:val="0"/>
        <w:numPr>
          <w:ilvl w:val="0"/>
          <w:numId w:val="17"/>
        </w:numPr>
        <w:tabs>
          <w:tab w:val="left" w:pos="961"/>
        </w:tabs>
        <w:spacing w:before="8" w:line="299" w:lineRule="exact"/>
        <w:contextualSpacing w:val="0"/>
        <w:rPr>
          <w:sz w:val="24"/>
        </w:rPr>
      </w:pPr>
      <w:r>
        <w:t>Policy makers should invest more in public</w:t>
      </w:r>
      <w:r>
        <w:rPr>
          <w:spacing w:val="-18"/>
        </w:rPr>
        <w:t xml:space="preserve"> </w:t>
      </w:r>
      <w:r>
        <w:t>transport</w:t>
      </w:r>
    </w:p>
    <w:p w14:paraId="2FAD1468" w14:textId="77777777" w:rsidR="001875F5" w:rsidRDefault="001875F5" w:rsidP="001875F5">
      <w:pPr>
        <w:pStyle w:val="ListParagraph"/>
        <w:widowControl w:val="0"/>
        <w:numPr>
          <w:ilvl w:val="1"/>
          <w:numId w:val="17"/>
        </w:numPr>
        <w:tabs>
          <w:tab w:val="left" w:pos="1681"/>
        </w:tabs>
        <w:spacing w:line="274" w:lineRule="exact"/>
        <w:contextualSpacing w:val="0"/>
      </w:pPr>
      <w:r>
        <w:t>Higher frequency, shorter travel</w:t>
      </w:r>
      <w:r>
        <w:rPr>
          <w:spacing w:val="-11"/>
        </w:rPr>
        <w:t xml:space="preserve"> </w:t>
      </w:r>
      <w:r>
        <w:t>times</w:t>
      </w:r>
    </w:p>
    <w:p w14:paraId="1DF4B186" w14:textId="77777777" w:rsidR="001875F5" w:rsidRDefault="001875F5" w:rsidP="001875F5">
      <w:pPr>
        <w:pStyle w:val="ListParagraph"/>
        <w:widowControl w:val="0"/>
        <w:numPr>
          <w:ilvl w:val="1"/>
          <w:numId w:val="17"/>
        </w:numPr>
        <w:tabs>
          <w:tab w:val="left" w:pos="1681"/>
        </w:tabs>
        <w:spacing w:line="275" w:lineRule="exact"/>
        <w:contextualSpacing w:val="0"/>
      </w:pPr>
      <w:r>
        <w:t>Better material, increased</w:t>
      </w:r>
      <w:r>
        <w:rPr>
          <w:spacing w:val="-8"/>
        </w:rPr>
        <w:t xml:space="preserve"> </w:t>
      </w:r>
      <w:r>
        <w:t>comfort</w:t>
      </w:r>
    </w:p>
    <w:p w14:paraId="4F4B300E" w14:textId="77777777" w:rsidR="001875F5" w:rsidRDefault="001875F5">
      <w:pPr>
        <w:pStyle w:val="BodyText"/>
        <w:spacing w:before="8"/>
        <w:ind w:left="0"/>
        <w:rPr>
          <w:sz w:val="35"/>
        </w:rPr>
      </w:pPr>
    </w:p>
    <w:p w14:paraId="127F62C7" w14:textId="77777777" w:rsidR="001875F5" w:rsidRDefault="001875F5">
      <w:pPr>
        <w:pStyle w:val="BodyText"/>
        <w:spacing w:before="1"/>
        <w:ind w:left="240"/>
      </w:pPr>
      <w:r>
        <w:t>With regard to public transport facilities in the port, participants concluded the following:</w:t>
      </w:r>
    </w:p>
    <w:p w14:paraId="3BFD3007" w14:textId="77777777" w:rsidR="001875F5" w:rsidRDefault="001875F5" w:rsidP="001875F5">
      <w:pPr>
        <w:pStyle w:val="ListParagraph"/>
        <w:widowControl w:val="0"/>
        <w:numPr>
          <w:ilvl w:val="0"/>
          <w:numId w:val="17"/>
        </w:numPr>
        <w:tabs>
          <w:tab w:val="left" w:pos="961"/>
        </w:tabs>
        <w:spacing w:before="191" w:line="266" w:lineRule="exact"/>
        <w:ind w:right="366"/>
        <w:contextualSpacing w:val="0"/>
      </w:pPr>
      <w:r>
        <w:t>Participants are curious to know the effects of innovative solutions such as the water bus or bike bus. Collective transport (i.e. shuttles) use is expected to drop in favour of the</w:t>
      </w:r>
      <w:r>
        <w:rPr>
          <w:spacing w:val="-30"/>
        </w:rPr>
        <w:t xml:space="preserve"> </w:t>
      </w:r>
      <w:r>
        <w:t>bike.</w:t>
      </w:r>
    </w:p>
    <w:p w14:paraId="7B285E2C" w14:textId="77777777" w:rsidR="001875F5" w:rsidRDefault="001875F5" w:rsidP="001875F5">
      <w:pPr>
        <w:pStyle w:val="ListParagraph"/>
        <w:widowControl w:val="0"/>
        <w:numPr>
          <w:ilvl w:val="0"/>
          <w:numId w:val="17"/>
        </w:numPr>
        <w:tabs>
          <w:tab w:val="left" w:pos="961"/>
        </w:tabs>
        <w:spacing w:before="6"/>
        <w:ind w:right="603"/>
        <w:contextualSpacing w:val="0"/>
      </w:pPr>
      <w:r>
        <w:t>Innovative solutions such as waterbus and bike bus should be combinable with car use to reach the north of the</w:t>
      </w:r>
      <w:r>
        <w:rPr>
          <w:spacing w:val="-9"/>
        </w:rPr>
        <w:t xml:space="preserve"> </w:t>
      </w:r>
      <w:r>
        <w:t>port.</w:t>
      </w:r>
    </w:p>
    <w:p w14:paraId="56B1B1D3" w14:textId="77777777" w:rsidR="001875F5" w:rsidRDefault="001875F5">
      <w:pPr>
        <w:pStyle w:val="BodyText"/>
        <w:ind w:left="0"/>
      </w:pPr>
    </w:p>
    <w:p w14:paraId="79FFBE98" w14:textId="77777777" w:rsidR="001875F5" w:rsidRDefault="001875F5">
      <w:pPr>
        <w:pStyle w:val="Heading3"/>
      </w:pPr>
      <w:r>
        <w:rPr>
          <w:color w:val="2D74B5"/>
        </w:rPr>
        <w:t>Bicycle</w:t>
      </w:r>
    </w:p>
    <w:p w14:paraId="633FD057" w14:textId="77777777" w:rsidR="001875F5" w:rsidRDefault="001875F5">
      <w:pPr>
        <w:pStyle w:val="BodyText"/>
        <w:spacing w:before="10"/>
        <w:ind w:left="0"/>
        <w:rPr>
          <w:rFonts w:ascii="Calibri Light"/>
          <w:sz w:val="38"/>
        </w:rPr>
      </w:pPr>
    </w:p>
    <w:p w14:paraId="22289504" w14:textId="77777777" w:rsidR="001875F5" w:rsidRDefault="001875F5">
      <w:pPr>
        <w:pStyle w:val="BodyText"/>
        <w:spacing w:line="256" w:lineRule="auto"/>
        <w:ind w:left="240" w:right="382"/>
      </w:pPr>
      <w:r>
        <w:t>Cycling is becoming increasingly popular in Antwerp and in Flanders as a whole, both in the city and among the port employees. According to the participants, there are different factors playing a role:</w:t>
      </w:r>
    </w:p>
    <w:p w14:paraId="09E97427" w14:textId="77777777" w:rsidR="001875F5" w:rsidRDefault="001875F5">
      <w:pPr>
        <w:spacing w:line="256" w:lineRule="auto"/>
        <w:sectPr w:rsidR="001875F5">
          <w:pgSz w:w="11910" w:h="16840"/>
          <w:pgMar w:top="1200" w:right="1180" w:bottom="1200" w:left="1200" w:header="275" w:footer="1003" w:gutter="0"/>
          <w:cols w:space="720"/>
        </w:sectPr>
      </w:pPr>
    </w:p>
    <w:p w14:paraId="5C19AA66" w14:textId="77777777" w:rsidR="001875F5" w:rsidRDefault="001875F5">
      <w:pPr>
        <w:pStyle w:val="BodyText"/>
        <w:spacing w:before="4"/>
        <w:ind w:left="0"/>
        <w:rPr>
          <w:sz w:val="13"/>
        </w:rPr>
      </w:pPr>
    </w:p>
    <w:p w14:paraId="5FAAE7AA" w14:textId="77777777" w:rsidR="001875F5" w:rsidRDefault="001875F5" w:rsidP="001875F5">
      <w:pPr>
        <w:pStyle w:val="ListParagraph"/>
        <w:widowControl w:val="0"/>
        <w:numPr>
          <w:ilvl w:val="0"/>
          <w:numId w:val="17"/>
        </w:numPr>
        <w:tabs>
          <w:tab w:val="left" w:pos="961"/>
        </w:tabs>
        <w:spacing w:before="60"/>
        <w:ind w:right="504"/>
        <w:contextualSpacing w:val="0"/>
      </w:pPr>
      <w:r>
        <w:t>Road works and increased congestion: commuting by bike saves more time than travelling by car or using other transport</w:t>
      </w:r>
      <w:r>
        <w:rPr>
          <w:spacing w:val="-10"/>
        </w:rPr>
        <w:t xml:space="preserve"> </w:t>
      </w:r>
      <w:r>
        <w:t>modes</w:t>
      </w:r>
    </w:p>
    <w:p w14:paraId="3A865214" w14:textId="77777777" w:rsidR="001875F5" w:rsidRDefault="001875F5" w:rsidP="001875F5">
      <w:pPr>
        <w:pStyle w:val="ListParagraph"/>
        <w:widowControl w:val="0"/>
        <w:numPr>
          <w:ilvl w:val="0"/>
          <w:numId w:val="17"/>
        </w:numPr>
        <w:tabs>
          <w:tab w:val="left" w:pos="961"/>
        </w:tabs>
        <w:spacing w:before="9" w:line="266" w:lineRule="exact"/>
        <w:ind w:right="416"/>
        <w:contextualSpacing w:val="0"/>
      </w:pPr>
      <w:r>
        <w:t>Employers are promoting sustainable mobility among employees via different services (e.g. cycle</w:t>
      </w:r>
      <w:r>
        <w:rPr>
          <w:spacing w:val="-2"/>
        </w:rPr>
        <w:t xml:space="preserve"> </w:t>
      </w:r>
      <w:r>
        <w:t>lease)</w:t>
      </w:r>
    </w:p>
    <w:p w14:paraId="4E07A3A1" w14:textId="77777777" w:rsidR="001875F5" w:rsidRDefault="001875F5" w:rsidP="001875F5">
      <w:pPr>
        <w:pStyle w:val="ListParagraph"/>
        <w:widowControl w:val="0"/>
        <w:numPr>
          <w:ilvl w:val="0"/>
          <w:numId w:val="17"/>
        </w:numPr>
        <w:tabs>
          <w:tab w:val="left" w:pos="961"/>
        </w:tabs>
        <w:spacing w:before="6"/>
        <w:ind w:right="457"/>
        <w:contextualSpacing w:val="0"/>
      </w:pPr>
      <w:r>
        <w:t>Cycling infrastructure has been augmented: not only in terms of qualitative cycle paths but also in terms of access to bikes (e.g. bike share</w:t>
      </w:r>
      <w:r>
        <w:rPr>
          <w:spacing w:val="-21"/>
        </w:rPr>
        <w:t xml:space="preserve"> </w:t>
      </w:r>
      <w:r>
        <w:t>systems).</w:t>
      </w:r>
    </w:p>
    <w:p w14:paraId="161D3394" w14:textId="77777777" w:rsidR="001875F5" w:rsidRDefault="001875F5" w:rsidP="001875F5">
      <w:pPr>
        <w:pStyle w:val="ListParagraph"/>
        <w:widowControl w:val="0"/>
        <w:numPr>
          <w:ilvl w:val="0"/>
          <w:numId w:val="17"/>
        </w:numPr>
        <w:tabs>
          <w:tab w:val="left" w:pos="961"/>
        </w:tabs>
        <w:ind w:right="441"/>
        <w:contextualSpacing w:val="0"/>
      </w:pPr>
      <w:r>
        <w:t>Bicycle revolution: thanks to electric bikes and speed bikes larger commuting distances can be</w:t>
      </w:r>
      <w:r>
        <w:rPr>
          <w:spacing w:val="-2"/>
        </w:rPr>
        <w:t xml:space="preserve"> </w:t>
      </w:r>
      <w:r>
        <w:t>covered.</w:t>
      </w:r>
    </w:p>
    <w:p w14:paraId="7950714E" w14:textId="77777777" w:rsidR="001875F5" w:rsidRDefault="001875F5" w:rsidP="001875F5">
      <w:pPr>
        <w:pStyle w:val="ListParagraph"/>
        <w:widowControl w:val="0"/>
        <w:numPr>
          <w:ilvl w:val="0"/>
          <w:numId w:val="17"/>
        </w:numPr>
        <w:tabs>
          <w:tab w:val="left" w:pos="961"/>
        </w:tabs>
        <w:spacing w:before="9" w:line="266" w:lineRule="exact"/>
        <w:ind w:right="312"/>
        <w:contextualSpacing w:val="0"/>
      </w:pPr>
      <w:r>
        <w:t>Cycling has become hip and trendy. More and more accessories are being sold and bikes can be bought in all types and</w:t>
      </w:r>
      <w:r>
        <w:rPr>
          <w:spacing w:val="-6"/>
        </w:rPr>
        <w:t xml:space="preserve"> </w:t>
      </w:r>
      <w:r>
        <w:t>colours.</w:t>
      </w:r>
    </w:p>
    <w:p w14:paraId="1E17B48D" w14:textId="77777777" w:rsidR="001875F5" w:rsidRDefault="001875F5" w:rsidP="001875F5">
      <w:pPr>
        <w:pStyle w:val="ListParagraph"/>
        <w:widowControl w:val="0"/>
        <w:numPr>
          <w:ilvl w:val="0"/>
          <w:numId w:val="17"/>
        </w:numPr>
        <w:tabs>
          <w:tab w:val="left" w:pos="961"/>
        </w:tabs>
        <w:spacing w:before="6"/>
        <w:ind w:right="901"/>
        <w:contextualSpacing w:val="0"/>
      </w:pPr>
      <w:r>
        <w:t xml:space="preserve">Parking policy of the city has been changed </w:t>
      </w:r>
      <w:r>
        <w:rPr>
          <w:rFonts w:ascii="Wingdings" w:hAnsi="Wingdings"/>
        </w:rPr>
        <w:t></w:t>
      </w:r>
      <w:r>
        <w:rPr>
          <w:rFonts w:ascii="Times New Roman" w:hAnsi="Times New Roman"/>
        </w:rPr>
        <w:t xml:space="preserve"> </w:t>
      </w:r>
      <w:r>
        <w:t>this creates an extra barrier to come to Antwerp by</w:t>
      </w:r>
      <w:r>
        <w:rPr>
          <w:spacing w:val="-2"/>
        </w:rPr>
        <w:t xml:space="preserve"> </w:t>
      </w:r>
      <w:r>
        <w:t>car</w:t>
      </w:r>
    </w:p>
    <w:p w14:paraId="0E763867" w14:textId="77777777" w:rsidR="001875F5" w:rsidRDefault="001875F5" w:rsidP="001875F5">
      <w:pPr>
        <w:pStyle w:val="ListParagraph"/>
        <w:widowControl w:val="0"/>
        <w:numPr>
          <w:ilvl w:val="0"/>
          <w:numId w:val="17"/>
        </w:numPr>
        <w:tabs>
          <w:tab w:val="left" w:pos="961"/>
        </w:tabs>
        <w:ind w:right="816"/>
        <w:contextualSpacing w:val="0"/>
      </w:pPr>
      <w:r>
        <w:t>Housing permit policy of local government: the City of Antwerp requires in its housing permits for both houses and office spaces that sufficient space for bicycles needs to be available.</w:t>
      </w:r>
    </w:p>
    <w:p w14:paraId="685E7D37" w14:textId="77777777" w:rsidR="001875F5" w:rsidRDefault="001875F5">
      <w:pPr>
        <w:pStyle w:val="BodyText"/>
        <w:ind w:left="0"/>
      </w:pPr>
    </w:p>
    <w:p w14:paraId="0BF690DC" w14:textId="77777777" w:rsidR="001875F5" w:rsidRDefault="001875F5">
      <w:pPr>
        <w:pStyle w:val="BodyText"/>
        <w:spacing w:before="181"/>
        <w:ind w:left="240"/>
      </w:pPr>
      <w:r>
        <w:t>At the same time, the participants also signalled some ‘threats’ or ‘weaknesses’:</w:t>
      </w:r>
    </w:p>
    <w:p w14:paraId="0D1FEE4A" w14:textId="77777777" w:rsidR="001875F5" w:rsidRDefault="001875F5" w:rsidP="001875F5">
      <w:pPr>
        <w:pStyle w:val="ListParagraph"/>
        <w:widowControl w:val="0"/>
        <w:numPr>
          <w:ilvl w:val="0"/>
          <w:numId w:val="17"/>
        </w:numPr>
        <w:tabs>
          <w:tab w:val="left" w:pos="961"/>
        </w:tabs>
        <w:spacing w:before="180"/>
        <w:ind w:right="587"/>
        <w:contextualSpacing w:val="0"/>
        <w:jc w:val="both"/>
      </w:pPr>
      <w:r>
        <w:t>Cannibalization of bike share by new transport modes such as steps, monowheels, hover boards and scooters: at the moment some sharing systems for new transport modes are already active in Antwerp. Participants expect a rise in use of these systems and a drop in public transport use and</w:t>
      </w:r>
      <w:r>
        <w:rPr>
          <w:spacing w:val="-12"/>
        </w:rPr>
        <w:t xml:space="preserve"> </w:t>
      </w:r>
      <w:r>
        <w:t>cycling.</w:t>
      </w:r>
    </w:p>
    <w:p w14:paraId="1D05405C" w14:textId="77777777" w:rsidR="001875F5" w:rsidRDefault="001875F5" w:rsidP="001875F5">
      <w:pPr>
        <w:pStyle w:val="ListParagraph"/>
        <w:widowControl w:val="0"/>
        <w:numPr>
          <w:ilvl w:val="0"/>
          <w:numId w:val="17"/>
        </w:numPr>
        <w:tabs>
          <w:tab w:val="left" w:pos="961"/>
        </w:tabs>
        <w:ind w:right="420"/>
        <w:contextualSpacing w:val="0"/>
      </w:pPr>
      <w:r>
        <w:t>Not all public spaces are adequately adapted to the increased number of cyclists: the existing cycling paths are too crowded. On top of that, more and more people are in favour of introducing a cycling</w:t>
      </w:r>
      <w:r>
        <w:rPr>
          <w:spacing w:val="-7"/>
        </w:rPr>
        <w:t xml:space="preserve"> </w:t>
      </w:r>
      <w:r>
        <w:t>etiquette.</w:t>
      </w:r>
    </w:p>
    <w:p w14:paraId="6D82DB17" w14:textId="77777777" w:rsidR="001875F5" w:rsidRDefault="001875F5" w:rsidP="001875F5">
      <w:pPr>
        <w:pStyle w:val="ListParagraph"/>
        <w:widowControl w:val="0"/>
        <w:numPr>
          <w:ilvl w:val="0"/>
          <w:numId w:val="17"/>
        </w:numPr>
        <w:tabs>
          <w:tab w:val="left" w:pos="961"/>
        </w:tabs>
        <w:ind w:right="340"/>
        <w:contextualSpacing w:val="0"/>
      </w:pPr>
      <w:r>
        <w:t>With the increase in cycling the issue of cycle safety also comes in play, especially in companies which are located in the port area. Some companies report a serious rise in cycle accidents since the start of their cycle lease</w:t>
      </w:r>
      <w:r>
        <w:rPr>
          <w:spacing w:val="-21"/>
        </w:rPr>
        <w:t xml:space="preserve"> </w:t>
      </w:r>
      <w:r>
        <w:t>programme.</w:t>
      </w:r>
    </w:p>
    <w:p w14:paraId="501C011C" w14:textId="77777777" w:rsidR="001875F5" w:rsidRDefault="001875F5" w:rsidP="001875F5">
      <w:pPr>
        <w:pStyle w:val="ListParagraph"/>
        <w:widowControl w:val="0"/>
        <w:numPr>
          <w:ilvl w:val="0"/>
          <w:numId w:val="17"/>
        </w:numPr>
        <w:tabs>
          <w:tab w:val="left" w:pos="961"/>
        </w:tabs>
        <w:ind w:right="650"/>
        <w:contextualSpacing w:val="0"/>
      </w:pPr>
      <w:r>
        <w:t>Is there also a rise in cycling visible among the immigrant population? The feeling among participants is that there is, but this needs to be further</w:t>
      </w:r>
      <w:r>
        <w:rPr>
          <w:spacing w:val="-20"/>
        </w:rPr>
        <w:t xml:space="preserve"> </w:t>
      </w:r>
      <w:r>
        <w:t>investigated.</w:t>
      </w:r>
    </w:p>
    <w:p w14:paraId="5D635D78" w14:textId="77777777" w:rsidR="001875F5" w:rsidRDefault="001875F5">
      <w:pPr>
        <w:pStyle w:val="BodyText"/>
        <w:ind w:left="0"/>
      </w:pPr>
    </w:p>
    <w:p w14:paraId="4805BDAD" w14:textId="77777777" w:rsidR="001875F5" w:rsidRDefault="001875F5">
      <w:pPr>
        <w:pStyle w:val="Heading3"/>
      </w:pPr>
      <w:r>
        <w:rPr>
          <w:color w:val="2D74B5"/>
        </w:rPr>
        <w:t>Logistics</w:t>
      </w:r>
    </w:p>
    <w:p w14:paraId="1F4A8412" w14:textId="77777777" w:rsidR="001875F5" w:rsidRDefault="001875F5">
      <w:pPr>
        <w:pStyle w:val="BodyText"/>
        <w:spacing w:before="8"/>
        <w:ind w:left="0"/>
        <w:rPr>
          <w:rFonts w:ascii="Calibri Light"/>
          <w:sz w:val="38"/>
        </w:rPr>
      </w:pPr>
    </w:p>
    <w:p w14:paraId="08B96170" w14:textId="77777777" w:rsidR="001875F5" w:rsidRDefault="001875F5">
      <w:pPr>
        <w:pStyle w:val="BodyText"/>
        <w:ind w:left="240"/>
      </w:pPr>
      <w:r>
        <w:t>With regard to city logistics, there is a clear lack of data, because of the following:</w:t>
      </w:r>
    </w:p>
    <w:p w14:paraId="4ADBB052" w14:textId="77777777" w:rsidR="001875F5" w:rsidRDefault="001875F5" w:rsidP="001875F5">
      <w:pPr>
        <w:pStyle w:val="ListParagraph"/>
        <w:widowControl w:val="0"/>
        <w:numPr>
          <w:ilvl w:val="0"/>
          <w:numId w:val="17"/>
        </w:numPr>
        <w:tabs>
          <w:tab w:val="left" w:pos="961"/>
        </w:tabs>
        <w:spacing w:before="183"/>
        <w:contextualSpacing w:val="0"/>
      </w:pPr>
      <w:r>
        <w:t>The research in city logistics is not yet very</w:t>
      </w:r>
      <w:r>
        <w:rPr>
          <w:spacing w:val="-15"/>
        </w:rPr>
        <w:t xml:space="preserve"> </w:t>
      </w:r>
      <w:r>
        <w:t>elaborate</w:t>
      </w:r>
    </w:p>
    <w:p w14:paraId="69082130" w14:textId="77777777" w:rsidR="001875F5" w:rsidRDefault="001875F5" w:rsidP="001875F5">
      <w:pPr>
        <w:pStyle w:val="ListParagraph"/>
        <w:widowControl w:val="0"/>
        <w:numPr>
          <w:ilvl w:val="0"/>
          <w:numId w:val="17"/>
        </w:numPr>
        <w:tabs>
          <w:tab w:val="left" w:pos="961"/>
        </w:tabs>
        <w:ind w:right="318"/>
        <w:contextualSpacing w:val="0"/>
      </w:pPr>
      <w:r>
        <w:t>The issue of privacy prevents the city from collecting detailed information from the ANPR cameras (in contrast with the port ANPR cameras where they are enable to retrieve detailed info of</w:t>
      </w:r>
      <w:r>
        <w:rPr>
          <w:spacing w:val="-3"/>
        </w:rPr>
        <w:t xml:space="preserve"> </w:t>
      </w:r>
      <w:r>
        <w:t>vehicles)</w:t>
      </w:r>
    </w:p>
    <w:p w14:paraId="77EE21C0" w14:textId="77777777" w:rsidR="001875F5" w:rsidRDefault="001875F5" w:rsidP="001875F5">
      <w:pPr>
        <w:pStyle w:val="ListParagraph"/>
        <w:widowControl w:val="0"/>
        <w:numPr>
          <w:ilvl w:val="0"/>
          <w:numId w:val="17"/>
        </w:numPr>
        <w:tabs>
          <w:tab w:val="left" w:pos="961"/>
        </w:tabs>
        <w:ind w:right="342"/>
        <w:contextualSpacing w:val="0"/>
      </w:pPr>
      <w:r>
        <w:t>The different logistics suppliers are hesitant to supply data to the city and to cooperate with each other in order to exchange data and</w:t>
      </w:r>
      <w:r>
        <w:rPr>
          <w:spacing w:val="-16"/>
        </w:rPr>
        <w:t xml:space="preserve"> </w:t>
      </w:r>
      <w:r>
        <w:t>expertise</w:t>
      </w:r>
    </w:p>
    <w:p w14:paraId="0591B17F" w14:textId="77777777" w:rsidR="001875F5" w:rsidRDefault="001875F5">
      <w:pPr>
        <w:pStyle w:val="BodyText"/>
        <w:ind w:left="0"/>
      </w:pPr>
    </w:p>
    <w:p w14:paraId="41531A98" w14:textId="77777777" w:rsidR="001875F5" w:rsidRDefault="001875F5">
      <w:pPr>
        <w:pStyle w:val="BodyText"/>
        <w:spacing w:before="181"/>
        <w:ind w:left="240"/>
      </w:pPr>
      <w:r>
        <w:t>However, participants see multiple trends in the city logistics sector towards more sustainability:</w:t>
      </w:r>
    </w:p>
    <w:p w14:paraId="2C3021AC" w14:textId="77777777" w:rsidR="001875F5" w:rsidRDefault="001875F5" w:rsidP="001875F5">
      <w:pPr>
        <w:pStyle w:val="ListParagraph"/>
        <w:widowControl w:val="0"/>
        <w:numPr>
          <w:ilvl w:val="0"/>
          <w:numId w:val="17"/>
        </w:numPr>
        <w:tabs>
          <w:tab w:val="left" w:pos="961"/>
        </w:tabs>
        <w:spacing w:before="183"/>
        <w:ind w:right="360"/>
        <w:contextualSpacing w:val="0"/>
      </w:pPr>
      <w:r>
        <w:t>Retail sector is taking the lead both in first mile logistics (to their shops) as in last mile logistics (from the retail shop to customer’s home): e.g. Carrefour located at the metro hub at Groenplaats and the Colruyt pilot project using collective transport to enable elderly customers to shop in their</w:t>
      </w:r>
      <w:r>
        <w:rPr>
          <w:spacing w:val="-9"/>
        </w:rPr>
        <w:t xml:space="preserve"> </w:t>
      </w:r>
      <w:r>
        <w:t>supermarkets</w:t>
      </w:r>
    </w:p>
    <w:p w14:paraId="4D887EE7" w14:textId="77777777" w:rsidR="001875F5" w:rsidRDefault="001875F5">
      <w:pPr>
        <w:sectPr w:rsidR="001875F5">
          <w:pgSz w:w="11910" w:h="16840"/>
          <w:pgMar w:top="1200" w:right="1180" w:bottom="1200" w:left="1200" w:header="275" w:footer="1003" w:gutter="0"/>
          <w:cols w:space="720"/>
        </w:sectPr>
      </w:pPr>
    </w:p>
    <w:p w14:paraId="08793F56" w14:textId="77777777" w:rsidR="001875F5" w:rsidRDefault="001875F5">
      <w:pPr>
        <w:pStyle w:val="BodyText"/>
        <w:spacing w:before="4"/>
        <w:ind w:left="0"/>
        <w:rPr>
          <w:sz w:val="13"/>
        </w:rPr>
      </w:pPr>
    </w:p>
    <w:p w14:paraId="2E7F6A6F" w14:textId="77777777" w:rsidR="001875F5" w:rsidRDefault="001875F5" w:rsidP="001875F5">
      <w:pPr>
        <w:pStyle w:val="ListParagraph"/>
        <w:widowControl w:val="0"/>
        <w:numPr>
          <w:ilvl w:val="0"/>
          <w:numId w:val="17"/>
        </w:numPr>
        <w:tabs>
          <w:tab w:val="left" w:pos="961"/>
        </w:tabs>
        <w:spacing w:before="60"/>
        <w:ind w:right="570"/>
        <w:contextualSpacing w:val="0"/>
      </w:pPr>
      <w:r>
        <w:t>The logistics projects of Smart Ways to Antwerp are successful: one of the partners, DHL, reduced their trips made by van with</w:t>
      </w:r>
      <w:r>
        <w:rPr>
          <w:spacing w:val="-9"/>
        </w:rPr>
        <w:t xml:space="preserve"> </w:t>
      </w:r>
      <w:r>
        <w:t>1,500</w:t>
      </w:r>
    </w:p>
    <w:p w14:paraId="6922F3E5" w14:textId="77777777" w:rsidR="001875F5" w:rsidRDefault="001875F5">
      <w:pPr>
        <w:pStyle w:val="BodyText"/>
        <w:ind w:left="0"/>
      </w:pPr>
    </w:p>
    <w:p w14:paraId="7CF394A5" w14:textId="77777777" w:rsidR="001875F5" w:rsidRDefault="001875F5">
      <w:pPr>
        <w:pStyle w:val="BodyText"/>
        <w:spacing w:before="180"/>
        <w:ind w:left="240"/>
      </w:pPr>
      <w:r>
        <w:t>Threats according to participants in terms of city logistics:</w:t>
      </w:r>
    </w:p>
    <w:p w14:paraId="279A72D5" w14:textId="77777777" w:rsidR="001875F5" w:rsidRDefault="001875F5" w:rsidP="001875F5">
      <w:pPr>
        <w:pStyle w:val="ListParagraph"/>
        <w:widowControl w:val="0"/>
        <w:numPr>
          <w:ilvl w:val="0"/>
          <w:numId w:val="17"/>
        </w:numPr>
        <w:tabs>
          <w:tab w:val="left" w:pos="961"/>
        </w:tabs>
        <w:spacing w:before="182"/>
        <w:ind w:right="390"/>
        <w:contextualSpacing w:val="0"/>
        <w:rPr>
          <w:sz w:val="20"/>
        </w:rPr>
      </w:pPr>
      <w:r>
        <w:t>Existing legislation: in places where vehicles above 3, 5 tonnes are prohibited to enter the city, logistics operators shift goods towards smaller ‘white vans’. This causes more trips and thus more greenhouse gas emissions in the city</w:t>
      </w:r>
      <w:r>
        <w:rPr>
          <w:spacing w:val="-11"/>
        </w:rPr>
        <w:t xml:space="preserve"> </w:t>
      </w:r>
      <w:r>
        <w:t>centre.</w:t>
      </w:r>
    </w:p>
    <w:p w14:paraId="6B3416A4" w14:textId="77777777" w:rsidR="001875F5" w:rsidRDefault="001875F5" w:rsidP="001875F5">
      <w:pPr>
        <w:pStyle w:val="ListParagraph"/>
        <w:widowControl w:val="0"/>
        <w:numPr>
          <w:ilvl w:val="0"/>
          <w:numId w:val="17"/>
        </w:numPr>
        <w:tabs>
          <w:tab w:val="left" w:pos="961"/>
        </w:tabs>
        <w:spacing w:line="480" w:lineRule="auto"/>
        <w:ind w:left="240" w:right="3929" w:firstLine="360"/>
        <w:contextualSpacing w:val="0"/>
        <w:rPr>
          <w:sz w:val="20"/>
        </w:rPr>
      </w:pPr>
      <w:r>
        <w:t>Rise in e-commerce and just-in-time delivery Possible solutions for city logistics according to</w:t>
      </w:r>
      <w:r>
        <w:rPr>
          <w:spacing w:val="-21"/>
        </w:rPr>
        <w:t xml:space="preserve"> </w:t>
      </w:r>
      <w:r>
        <w:t>participants:</w:t>
      </w:r>
    </w:p>
    <w:p w14:paraId="4855736F" w14:textId="77777777" w:rsidR="001875F5" w:rsidRDefault="001875F5" w:rsidP="001875F5">
      <w:pPr>
        <w:pStyle w:val="ListParagraph"/>
        <w:widowControl w:val="0"/>
        <w:numPr>
          <w:ilvl w:val="0"/>
          <w:numId w:val="17"/>
        </w:numPr>
        <w:tabs>
          <w:tab w:val="left" w:pos="961"/>
        </w:tabs>
        <w:spacing w:line="192" w:lineRule="exact"/>
        <w:contextualSpacing w:val="0"/>
      </w:pPr>
      <w:r>
        <w:t>More hubs in city</w:t>
      </w:r>
      <w:r>
        <w:rPr>
          <w:spacing w:val="-7"/>
        </w:rPr>
        <w:t xml:space="preserve"> </w:t>
      </w:r>
      <w:r>
        <w:t>centres</w:t>
      </w:r>
    </w:p>
    <w:p w14:paraId="113A4BDC" w14:textId="77777777" w:rsidR="001875F5" w:rsidRDefault="001875F5" w:rsidP="001875F5">
      <w:pPr>
        <w:pStyle w:val="ListParagraph"/>
        <w:widowControl w:val="0"/>
        <w:numPr>
          <w:ilvl w:val="0"/>
          <w:numId w:val="17"/>
        </w:numPr>
        <w:tabs>
          <w:tab w:val="left" w:pos="961"/>
        </w:tabs>
        <w:contextualSpacing w:val="0"/>
      </w:pPr>
      <w:r>
        <w:t>A more restrictive parking policy: reduce the amount of resident parking</w:t>
      </w:r>
      <w:r>
        <w:rPr>
          <w:spacing w:val="-18"/>
        </w:rPr>
        <w:t xml:space="preserve"> </w:t>
      </w:r>
      <w:r>
        <w:t>permits</w:t>
      </w:r>
    </w:p>
    <w:p w14:paraId="047CE4EF" w14:textId="77777777" w:rsidR="001875F5" w:rsidRDefault="001875F5" w:rsidP="001875F5">
      <w:pPr>
        <w:pStyle w:val="ListParagraph"/>
        <w:widowControl w:val="0"/>
        <w:numPr>
          <w:ilvl w:val="0"/>
          <w:numId w:val="17"/>
        </w:numPr>
        <w:tabs>
          <w:tab w:val="left" w:pos="961"/>
        </w:tabs>
        <w:contextualSpacing w:val="0"/>
      </w:pPr>
      <w:r>
        <w:t>Allow night</w:t>
      </w:r>
      <w:r>
        <w:rPr>
          <w:spacing w:val="-5"/>
        </w:rPr>
        <w:t xml:space="preserve"> </w:t>
      </w:r>
      <w:r>
        <w:t>delivery</w:t>
      </w:r>
    </w:p>
    <w:p w14:paraId="4667462B" w14:textId="77777777" w:rsidR="001875F5" w:rsidRDefault="001875F5">
      <w:pPr>
        <w:pStyle w:val="BodyText"/>
        <w:spacing w:before="8"/>
        <w:ind w:left="0"/>
      </w:pPr>
    </w:p>
    <w:p w14:paraId="02FBB2F2" w14:textId="77777777" w:rsidR="001875F5" w:rsidRDefault="001875F5">
      <w:pPr>
        <w:pStyle w:val="BodyText"/>
        <w:spacing w:line="259" w:lineRule="auto"/>
        <w:ind w:left="240" w:right="508"/>
      </w:pPr>
      <w:r>
        <w:t>The numbers of port logistics show that a lot remains to be done in order to reach the ambition of 2030. There are several factors playing a role:</w:t>
      </w:r>
    </w:p>
    <w:p w14:paraId="0D0CA0CB" w14:textId="77777777" w:rsidR="001875F5" w:rsidRDefault="001875F5" w:rsidP="001875F5">
      <w:pPr>
        <w:pStyle w:val="ListParagraph"/>
        <w:widowControl w:val="0"/>
        <w:numPr>
          <w:ilvl w:val="0"/>
          <w:numId w:val="17"/>
        </w:numPr>
        <w:tabs>
          <w:tab w:val="left" w:pos="961"/>
        </w:tabs>
        <w:spacing w:before="159"/>
        <w:ind w:right="445"/>
        <w:contextualSpacing w:val="0"/>
      </w:pPr>
      <w:r>
        <w:t xml:space="preserve">The port has no authority with regard to the railway infrastructure: if cargo needs to be unloaded, a railway track has to be requested two years in advance. The port authority has now created Railport in order to organize the planning on a part of the existing railway structure themselves. For more information on Railport, please see: </w:t>
      </w:r>
      <w:hyperlink r:id="rId19">
        <w:r>
          <w:rPr>
            <w:color w:val="0462C1"/>
            <w:u w:val="single" w:color="0462C1"/>
          </w:rPr>
          <w:t xml:space="preserve">https://www.portofantwerp.com/en/news/port-seeks-double-rail-volume-railport- </w:t>
        </w:r>
      </w:hyperlink>
      <w:hyperlink r:id="rId20">
        <w:r>
          <w:rPr>
            <w:color w:val="0462C1"/>
            <w:u w:val="single" w:color="0462C1"/>
          </w:rPr>
          <w:t>antwerpen</w:t>
        </w:r>
      </w:hyperlink>
    </w:p>
    <w:p w14:paraId="38814C0A" w14:textId="77777777" w:rsidR="001875F5" w:rsidRDefault="001875F5" w:rsidP="001875F5">
      <w:pPr>
        <w:pStyle w:val="ListParagraph"/>
        <w:widowControl w:val="0"/>
        <w:numPr>
          <w:ilvl w:val="0"/>
          <w:numId w:val="17"/>
        </w:numPr>
        <w:tabs>
          <w:tab w:val="left" w:pos="961"/>
        </w:tabs>
        <w:ind w:right="346"/>
        <w:contextualSpacing w:val="0"/>
      </w:pPr>
      <w:r>
        <w:t>Smaller ships with fewer containers are last in line to unload their cargo in the terminals: they have no direct contract with the terminals. The port authority has created several hubs where smaller ships can unload their containers, which are then being bundled and then dropped off at</w:t>
      </w:r>
      <w:r>
        <w:rPr>
          <w:spacing w:val="-7"/>
        </w:rPr>
        <w:t xml:space="preserve"> </w:t>
      </w:r>
      <w:r>
        <w:t>terminals.</w:t>
      </w:r>
    </w:p>
    <w:p w14:paraId="534EE042" w14:textId="77777777" w:rsidR="001875F5" w:rsidRDefault="001875F5" w:rsidP="001875F5">
      <w:pPr>
        <w:pStyle w:val="ListParagraph"/>
        <w:widowControl w:val="0"/>
        <w:numPr>
          <w:ilvl w:val="0"/>
          <w:numId w:val="17"/>
        </w:numPr>
        <w:tabs>
          <w:tab w:val="left" w:pos="961"/>
        </w:tabs>
        <w:spacing w:before="1"/>
        <w:ind w:right="292"/>
        <w:contextualSpacing w:val="0"/>
      </w:pPr>
      <w:r>
        <w:t>The perception of logistics by containerships or railway infrastructure is still low in comparison with trucks. Operators believe trucks to be more reliable, in terms of delivery on time</w:t>
      </w:r>
    </w:p>
    <w:p w14:paraId="13FE1D38" w14:textId="77777777" w:rsidR="001875F5" w:rsidRDefault="001875F5">
      <w:pPr>
        <w:pStyle w:val="BodyText"/>
        <w:spacing w:before="9"/>
        <w:ind w:left="0"/>
        <w:rPr>
          <w:sz w:val="19"/>
        </w:rPr>
      </w:pPr>
    </w:p>
    <w:p w14:paraId="16B3ADA3" w14:textId="77777777" w:rsidR="001875F5" w:rsidRDefault="001875F5">
      <w:pPr>
        <w:pStyle w:val="Heading2"/>
      </w:pPr>
      <w:r>
        <w:rPr>
          <w:color w:val="2D74B5"/>
        </w:rPr>
        <w:t>Overall conclusion</w:t>
      </w:r>
    </w:p>
    <w:p w14:paraId="0618F3DA" w14:textId="77777777" w:rsidR="001875F5" w:rsidRDefault="001875F5">
      <w:pPr>
        <w:pStyle w:val="BodyText"/>
        <w:spacing w:before="3"/>
        <w:ind w:left="0"/>
        <w:rPr>
          <w:rFonts w:ascii="Calibri Light"/>
          <w:sz w:val="39"/>
        </w:rPr>
      </w:pPr>
    </w:p>
    <w:p w14:paraId="064F9710" w14:textId="77777777" w:rsidR="001875F5" w:rsidRDefault="001875F5">
      <w:pPr>
        <w:pStyle w:val="BodyText"/>
        <w:spacing w:line="403" w:lineRule="auto"/>
        <w:ind w:left="240" w:right="3172"/>
      </w:pPr>
      <w:r>
        <w:t>In short, we can draw the following conclusions for different modes: Car</w:t>
      </w:r>
    </w:p>
    <w:p w14:paraId="36630260" w14:textId="77777777" w:rsidR="001875F5" w:rsidRDefault="001875F5" w:rsidP="001875F5">
      <w:pPr>
        <w:pStyle w:val="ListParagraph"/>
        <w:widowControl w:val="0"/>
        <w:numPr>
          <w:ilvl w:val="0"/>
          <w:numId w:val="16"/>
        </w:numPr>
        <w:tabs>
          <w:tab w:val="left" w:pos="961"/>
        </w:tabs>
        <w:spacing w:line="259" w:lineRule="auto"/>
        <w:ind w:right="648"/>
        <w:contextualSpacing w:val="0"/>
      </w:pPr>
      <w:r>
        <w:t>According to the participants, traffic entering the city centre has dropped because of the road works, the new low emission zone as well as free parking outside the ring</w:t>
      </w:r>
      <w:r>
        <w:rPr>
          <w:spacing w:val="-16"/>
        </w:rPr>
        <w:t xml:space="preserve"> </w:t>
      </w:r>
      <w:r>
        <w:t>road.</w:t>
      </w:r>
    </w:p>
    <w:p w14:paraId="0F5EF43F" w14:textId="77777777" w:rsidR="001875F5" w:rsidRDefault="001875F5">
      <w:pPr>
        <w:pStyle w:val="BodyText"/>
        <w:spacing w:line="259" w:lineRule="auto"/>
        <w:ind w:right="508"/>
      </w:pPr>
      <w:r>
        <w:t>However, when looking at travel behaviour and mode choice, people hold on to their own private cars. In the port, cycling is taking an increasing share from car traffic among commuters resulting from new initiatives encouraging cycling: cycle bus, communication campaigns (Slim naar Antwerpen/Smart Ways to Antwerp), and so forth.</w:t>
      </w:r>
    </w:p>
    <w:p w14:paraId="48CCC06B" w14:textId="77777777" w:rsidR="001875F5" w:rsidRDefault="001875F5">
      <w:pPr>
        <w:pStyle w:val="BodyText"/>
        <w:spacing w:before="158"/>
        <w:ind w:left="240"/>
      </w:pPr>
      <w:r>
        <w:t>Public transport</w:t>
      </w:r>
    </w:p>
    <w:p w14:paraId="71FEB72A" w14:textId="77777777" w:rsidR="001875F5" w:rsidRDefault="001875F5" w:rsidP="001875F5">
      <w:pPr>
        <w:pStyle w:val="ListParagraph"/>
        <w:widowControl w:val="0"/>
        <w:numPr>
          <w:ilvl w:val="0"/>
          <w:numId w:val="16"/>
        </w:numPr>
        <w:tabs>
          <w:tab w:val="left" w:pos="961"/>
        </w:tabs>
        <w:spacing w:before="182" w:line="259" w:lineRule="auto"/>
        <w:ind w:right="363"/>
        <w:contextualSpacing w:val="0"/>
      </w:pPr>
      <w:r>
        <w:t>Public transport is losing ground to bicycle and train: trains are faster, more frequent and of higher quality than buses or trams; bicycles offer freedom, comfort, easy access and value for money.  The collective transport schemes in the port are also expected to lose</w:t>
      </w:r>
      <w:r>
        <w:rPr>
          <w:spacing w:val="-27"/>
        </w:rPr>
        <w:t xml:space="preserve"> </w:t>
      </w:r>
      <w:r>
        <w:t>more</w:t>
      </w:r>
    </w:p>
    <w:p w14:paraId="53C5AE7B" w14:textId="77777777" w:rsidR="001875F5" w:rsidRDefault="001875F5">
      <w:pPr>
        <w:spacing w:line="259" w:lineRule="auto"/>
        <w:sectPr w:rsidR="001875F5">
          <w:pgSz w:w="11910" w:h="16840"/>
          <w:pgMar w:top="1200" w:right="1180" w:bottom="1200" w:left="1200" w:header="275" w:footer="1003" w:gutter="0"/>
          <w:cols w:space="720"/>
        </w:sectPr>
      </w:pPr>
    </w:p>
    <w:p w14:paraId="61C397FF" w14:textId="77777777" w:rsidR="001875F5" w:rsidRDefault="001875F5">
      <w:pPr>
        <w:pStyle w:val="BodyText"/>
        <w:spacing w:before="8"/>
        <w:ind w:left="0"/>
        <w:rPr>
          <w:sz w:val="13"/>
        </w:rPr>
      </w:pPr>
    </w:p>
    <w:p w14:paraId="27AB0062" w14:textId="77777777" w:rsidR="001875F5" w:rsidRDefault="001875F5">
      <w:pPr>
        <w:pStyle w:val="BodyText"/>
        <w:spacing w:before="56" w:line="259" w:lineRule="auto"/>
        <w:ind w:right="611"/>
      </w:pPr>
      <w:r>
        <w:t>share to bicycles with the introduction of the new bike sharing schemes. This has already been seen with the existing cycle-lease programmes.</w:t>
      </w:r>
    </w:p>
    <w:p w14:paraId="663A74E9" w14:textId="77777777" w:rsidR="001875F5" w:rsidRDefault="001875F5">
      <w:pPr>
        <w:pStyle w:val="BodyText"/>
        <w:spacing w:before="4"/>
        <w:ind w:left="0"/>
        <w:rPr>
          <w:sz w:val="8"/>
        </w:rPr>
      </w:pPr>
    </w:p>
    <w:p w14:paraId="6BA3E928" w14:textId="77777777" w:rsidR="001875F5" w:rsidRDefault="001875F5">
      <w:pPr>
        <w:pStyle w:val="BodyText"/>
        <w:spacing w:before="57"/>
        <w:ind w:left="240"/>
      </w:pPr>
      <w:r>
        <w:t>Bicycle</w:t>
      </w:r>
    </w:p>
    <w:p w14:paraId="0A348D8F" w14:textId="77777777" w:rsidR="001875F5" w:rsidRDefault="001875F5" w:rsidP="001875F5">
      <w:pPr>
        <w:pStyle w:val="ListParagraph"/>
        <w:widowControl w:val="0"/>
        <w:numPr>
          <w:ilvl w:val="0"/>
          <w:numId w:val="16"/>
        </w:numPr>
        <w:tabs>
          <w:tab w:val="left" w:pos="961"/>
        </w:tabs>
        <w:spacing w:before="182" w:line="259" w:lineRule="auto"/>
        <w:ind w:right="493"/>
        <w:contextualSpacing w:val="0"/>
      </w:pPr>
      <w:r>
        <w:t>Cycling is gaining popularity in Antwerp and the whole of Flanders both in the city and the port for many reasons: commuting by bicycle saves time compared to travelling by car or public transport, there are new employer schemes promoting sustainable mobility, cycling infrastructure is improved, cycling is considered hip and trendy, and so on. However, new transport modes such as steps, monowheels, hover boards and scooters form a possible threat for bicycles, and, increased cycling also means crowded cycling</w:t>
      </w:r>
      <w:r>
        <w:rPr>
          <w:spacing w:val="-14"/>
        </w:rPr>
        <w:t xml:space="preserve"> </w:t>
      </w:r>
      <w:r>
        <w:t>paths.</w:t>
      </w:r>
    </w:p>
    <w:p w14:paraId="1D275B54" w14:textId="77777777" w:rsidR="001875F5" w:rsidRDefault="001875F5" w:rsidP="001875F5">
      <w:pPr>
        <w:pStyle w:val="ListParagraph"/>
        <w:widowControl w:val="0"/>
        <w:numPr>
          <w:ilvl w:val="0"/>
          <w:numId w:val="16"/>
        </w:numPr>
        <w:tabs>
          <w:tab w:val="left" w:pos="961"/>
        </w:tabs>
        <w:spacing w:before="161" w:line="259" w:lineRule="auto"/>
        <w:ind w:right="581"/>
        <w:contextualSpacing w:val="0"/>
      </w:pPr>
      <w:r>
        <w:t>The port takes traffic safety seriously by organising workshops on traffic safety. There is a common misperception that there are more accidents due to commuting by sustainable transport modes but there is not necessarily a link with an increased risk of</w:t>
      </w:r>
      <w:r>
        <w:rPr>
          <w:spacing w:val="-24"/>
        </w:rPr>
        <w:t xml:space="preserve"> </w:t>
      </w:r>
      <w:r>
        <w:t>accidents.</w:t>
      </w:r>
    </w:p>
    <w:p w14:paraId="09E757B9" w14:textId="77777777" w:rsidR="001875F5" w:rsidRDefault="001875F5">
      <w:pPr>
        <w:pStyle w:val="BodyText"/>
        <w:spacing w:before="161"/>
        <w:ind w:left="240"/>
      </w:pPr>
      <w:r>
        <w:t>Logistics</w:t>
      </w:r>
    </w:p>
    <w:p w14:paraId="0B1CFC26" w14:textId="77777777" w:rsidR="001875F5" w:rsidRDefault="001875F5" w:rsidP="001875F5">
      <w:pPr>
        <w:pStyle w:val="ListParagraph"/>
        <w:widowControl w:val="0"/>
        <w:numPr>
          <w:ilvl w:val="0"/>
          <w:numId w:val="15"/>
        </w:numPr>
        <w:tabs>
          <w:tab w:val="left" w:pos="961"/>
        </w:tabs>
        <w:spacing w:before="181"/>
        <w:ind w:right="483"/>
        <w:contextualSpacing w:val="0"/>
      </w:pPr>
      <w:r>
        <w:t>The research in city logistics is not yet very comprehensive and privacy issues prevent the city from collecting detailed information from the ANPR cameras. However, retail sector is taking the lead in both first and last mile logistics. More hubs in city centres, a more restrictive parking policy and the authorisation of night delivery could help the situation of city</w:t>
      </w:r>
      <w:r>
        <w:rPr>
          <w:spacing w:val="1"/>
        </w:rPr>
        <w:t xml:space="preserve"> </w:t>
      </w:r>
      <w:r>
        <w:t>logistics.</w:t>
      </w:r>
    </w:p>
    <w:p w14:paraId="7201EA29" w14:textId="77777777" w:rsidR="001875F5" w:rsidRDefault="001875F5" w:rsidP="001875F5">
      <w:pPr>
        <w:pStyle w:val="ListParagraph"/>
        <w:widowControl w:val="0"/>
        <w:numPr>
          <w:ilvl w:val="0"/>
          <w:numId w:val="15"/>
        </w:numPr>
        <w:tabs>
          <w:tab w:val="left" w:pos="961"/>
        </w:tabs>
        <w:spacing w:before="1"/>
        <w:ind w:right="395"/>
        <w:contextualSpacing w:val="0"/>
      </w:pPr>
      <w:r>
        <w:t>As for the port, operators still believe trucks to be more reliable than trains or inland cargo ships with regard to delivery on time. To increase delivery by train, the port authority has created Railport in order to organize the planning on a part of the existing railway structure themselves.</w:t>
      </w:r>
    </w:p>
    <w:p w14:paraId="0837D8CA" w14:textId="3B391D2D" w:rsidR="00B4616B" w:rsidRDefault="00B4616B">
      <w:pPr>
        <w:rPr>
          <w:b/>
          <w:u w:val="single"/>
        </w:rPr>
      </w:pPr>
    </w:p>
    <w:p w14:paraId="78B05A9F" w14:textId="77777777" w:rsidR="00B4616B" w:rsidRPr="00B4616B" w:rsidRDefault="00B4616B">
      <w:pPr>
        <w:rPr>
          <w:b/>
          <w:u w:val="single"/>
        </w:rPr>
      </w:pPr>
    </w:p>
    <w:sectPr w:rsidR="00B4616B" w:rsidRPr="00B4616B" w:rsidSect="00BA34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B5E83" w14:textId="77777777" w:rsidR="00F243DB" w:rsidRDefault="00F243DB" w:rsidP="00F76777">
      <w:r>
        <w:separator/>
      </w:r>
    </w:p>
  </w:endnote>
  <w:endnote w:type="continuationSeparator" w:id="0">
    <w:p w14:paraId="48BC718B" w14:textId="77777777" w:rsidR="00F243DB" w:rsidRDefault="00F243DB" w:rsidP="00F7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Times New Roman,MS Min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62077"/>
      <w:docPartObj>
        <w:docPartGallery w:val="Page Numbers (Bottom of Page)"/>
        <w:docPartUnique/>
      </w:docPartObj>
    </w:sdtPr>
    <w:sdtEndPr>
      <w:rPr>
        <w:noProof/>
      </w:rPr>
    </w:sdtEndPr>
    <w:sdtContent>
      <w:p w14:paraId="32511641" w14:textId="15BC53C8" w:rsidR="005431ED" w:rsidRDefault="005431ED">
        <w:pPr>
          <w:pStyle w:val="Footer"/>
          <w:jc w:val="right"/>
        </w:pPr>
        <w:r>
          <w:fldChar w:fldCharType="begin"/>
        </w:r>
        <w:r>
          <w:instrText xml:space="preserve"> PAGE   \* MERGEFORMAT </w:instrText>
        </w:r>
        <w:r>
          <w:fldChar w:fldCharType="separate"/>
        </w:r>
        <w:r w:rsidR="00454CA8">
          <w:rPr>
            <w:noProof/>
          </w:rPr>
          <w:t>1</w:t>
        </w:r>
        <w:r>
          <w:rPr>
            <w:noProof/>
          </w:rPr>
          <w:fldChar w:fldCharType="end"/>
        </w:r>
      </w:p>
    </w:sdtContent>
  </w:sdt>
  <w:p w14:paraId="32CCDE76" w14:textId="77777777" w:rsidR="00B4726B" w:rsidRDefault="00B47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31798"/>
      <w:docPartObj>
        <w:docPartGallery w:val="Page Numbers (Bottom of Page)"/>
        <w:docPartUnique/>
      </w:docPartObj>
    </w:sdtPr>
    <w:sdtEndPr>
      <w:rPr>
        <w:noProof/>
      </w:rPr>
    </w:sdtEndPr>
    <w:sdtContent>
      <w:p w14:paraId="3B35D485" w14:textId="737CE17D" w:rsidR="005431ED" w:rsidRDefault="005431ED">
        <w:pPr>
          <w:pStyle w:val="Footer"/>
          <w:jc w:val="right"/>
        </w:pPr>
        <w:r>
          <w:t>2</w:t>
        </w:r>
      </w:p>
    </w:sdtContent>
  </w:sdt>
  <w:p w14:paraId="45497285" w14:textId="77777777" w:rsidR="005431ED" w:rsidRDefault="00543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2D9BC" w14:textId="77777777" w:rsidR="00A34615" w:rsidRDefault="00F243DB">
    <w:pPr>
      <w:pStyle w:val="BodyText"/>
      <w:spacing w:line="14" w:lineRule="auto"/>
      <w:ind w:left="0"/>
      <w:rPr>
        <w:sz w:val="20"/>
      </w:rPr>
    </w:pPr>
    <w:r>
      <w:pict w14:anchorId="0194C052">
        <v:shapetype id="_x0000_t202" coordsize="21600,21600" o:spt="202" path="m,l,21600r21600,l21600,xe">
          <v:stroke joinstyle="miter"/>
          <v:path gradientshapeok="t" o:connecttype="rect"/>
        </v:shapetype>
        <v:shape id="_x0000_s2052" type="#_x0000_t202" style="position:absolute;margin-left:513.2pt;margin-top:782.1pt;width:20.3pt;height:15.05pt;z-index:-251655168;mso-position-horizontal-relative:page;mso-position-vertical-relative:page" filled="f" stroked="f">
          <v:textbox inset="0,0,0,0">
            <w:txbxContent>
              <w:p w14:paraId="42A2B0C0" w14:textId="77777777" w:rsidR="00A34615" w:rsidRDefault="00A34615">
                <w:pPr>
                  <w:pStyle w:val="BodyText"/>
                  <w:spacing w:line="245" w:lineRule="exact"/>
                  <w:ind w:left="40"/>
                </w:pPr>
                <w:r>
                  <w:fldChar w:fldCharType="begin"/>
                </w:r>
                <w:r>
                  <w:instrText xml:space="preserve"> PAGE </w:instrText>
                </w:r>
                <w:r>
                  <w:fldChar w:fldCharType="separate"/>
                </w:r>
                <w:r w:rsidR="00454CA8">
                  <w:rPr>
                    <w:noProof/>
                  </w:rP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CB69" w14:textId="77777777" w:rsidR="00F243DB" w:rsidRDefault="00F243DB" w:rsidP="00F76777">
      <w:r>
        <w:separator/>
      </w:r>
    </w:p>
  </w:footnote>
  <w:footnote w:type="continuationSeparator" w:id="0">
    <w:p w14:paraId="0E81343C" w14:textId="77777777" w:rsidR="00F243DB" w:rsidRDefault="00F243DB" w:rsidP="00F76777">
      <w:r>
        <w:continuationSeparator/>
      </w:r>
    </w:p>
  </w:footnote>
  <w:footnote w:id="1">
    <w:p w14:paraId="327775EB" w14:textId="77777777" w:rsidR="00A34615" w:rsidRPr="00074DA4" w:rsidRDefault="00A34615" w:rsidP="00074DA4">
      <w:pPr>
        <w:pStyle w:val="FootnoteText"/>
        <w:rPr>
          <w:sz w:val="18"/>
        </w:rPr>
      </w:pPr>
      <w:r>
        <w:rPr>
          <w:rStyle w:val="FootnoteReference"/>
        </w:rPr>
        <w:footnoteRef/>
      </w:r>
      <w:r>
        <w:t xml:space="preserve"> </w:t>
      </w:r>
      <w:r w:rsidRPr="00074DA4">
        <w:rPr>
          <w:sz w:val="18"/>
        </w:rPr>
        <w:t xml:space="preserve">The grading is based on standardised scores rather than grading based on absolute % due to the variation in number of measures/factors in the assessment for different indicators. </w:t>
      </w:r>
    </w:p>
    <w:p w14:paraId="51A250CB" w14:textId="04D675F2" w:rsidR="00A34615" w:rsidRPr="00074DA4" w:rsidRDefault="00A34615">
      <w:pPr>
        <w:pStyle w:val="FootnoteText"/>
        <w:rPr>
          <w:sz w:val="18"/>
        </w:rPr>
      </w:pPr>
    </w:p>
  </w:footnote>
  <w:footnote w:id="2">
    <w:p w14:paraId="26265EDD" w14:textId="714C0B1A" w:rsidR="00A34615" w:rsidRPr="00074DA4" w:rsidRDefault="00A34615">
      <w:pPr>
        <w:pStyle w:val="FootnoteText"/>
        <w:rPr>
          <w:sz w:val="18"/>
        </w:rPr>
      </w:pPr>
      <w:r w:rsidRPr="00074DA4">
        <w:rPr>
          <w:rStyle w:val="FootnoteReference"/>
          <w:sz w:val="18"/>
        </w:rPr>
        <w:footnoteRef/>
      </w:r>
      <w:r w:rsidRPr="00074DA4">
        <w:rPr>
          <w:sz w:val="18"/>
        </w:rPr>
        <w:t xml:space="preserve"> The grading ranges applied to the standardised scores are [LOW</w:t>
      </w:r>
      <w:r>
        <w:rPr>
          <w:sz w:val="18"/>
        </w:rPr>
        <w:t xml:space="preserve"> </w:t>
      </w:r>
      <w:r w:rsidRPr="00074DA4">
        <w:rPr>
          <w:sz w:val="18"/>
        </w:rPr>
        <w:t>&lt; -0.5 &lt; MEDIUM &lt; 0.5 &lt; HIGH &lt;</w:t>
      </w:r>
      <w:r>
        <w:rPr>
          <w:sz w:val="18"/>
        </w:rPr>
        <w:t xml:space="preserve"> </w:t>
      </w:r>
      <w:r w:rsidRPr="00074DA4">
        <w:rPr>
          <w:sz w:val="18"/>
        </w:rPr>
        <w:t>1.4 &lt; VERY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52FC" w14:textId="114F87BA" w:rsidR="00A34615" w:rsidRDefault="00A34615">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A0D6" w14:textId="448292E0" w:rsidR="00A34615" w:rsidRPr="00C27909" w:rsidRDefault="00A34615" w:rsidP="00C27909">
    <w:pPr>
      <w:pStyle w:val="Heading1"/>
      <w:ind w:left="1440" w:firstLine="720"/>
      <w:rPr>
        <w:rStyle w:val="Heading1Char"/>
        <w:u w:val="single"/>
      </w:rPr>
    </w:pPr>
    <w:r w:rsidRPr="00C27909">
      <w:rPr>
        <w:b/>
        <w:color w:val="767171" w:themeColor="background2" w:themeShade="80"/>
      </w:rPr>
      <w:t>A</w:t>
    </w:r>
    <w:r w:rsidRPr="00C27909">
      <w:rPr>
        <w:b/>
        <w:color w:val="767171" w:themeColor="background2" w:themeShade="80"/>
        <w:u w:val="single"/>
      </w:rPr>
      <w:t>NNEX A: Output from Antwerp Workshop 1</w:t>
    </w:r>
    <w:r w:rsidR="00F243DB">
      <w:rPr>
        <w:sz w:val="22"/>
        <w:u w:val="single"/>
      </w:rPr>
      <w:pict w14:anchorId="46F5A076">
        <v:group id="_x0000_s2053" style="position:absolute;left:0;text-align:left;margin-left:65.4pt;margin-top:13.75pt;width:64.8pt;height:46.95pt;z-index:-251653120;mso-position-horizontal-relative:page;mso-position-vertical-relative:page" coordorigin="1308,275" coordsize="1296,939">
          <v:rect id="_x0000_s2054" style="position:absolute;left:1308;top:275;width:1296;height:939" fillcolor="#034ea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1816;top:408;width:749;height:757">
            <v:imagedata r:id="rId1" o:title=""/>
          </v:shape>
          <w10:wrap anchorx="page" anchory="page"/>
        </v:group>
      </w:pict>
    </w:r>
    <w:r w:rsidRPr="00C27909">
      <w:rPr>
        <w:noProof/>
        <w:u w:val="single"/>
        <w:lang w:eastAsia="en-GB"/>
      </w:rPr>
      <w:drawing>
        <wp:anchor distT="0" distB="0" distL="0" distR="0" simplePos="0" relativeHeight="251664384" behindDoc="1" locked="0" layoutInCell="1" allowOverlap="1" wp14:anchorId="6A3C2701" wp14:editId="20B13578">
          <wp:simplePos x="0" y="0"/>
          <wp:positionH relativeFrom="page">
            <wp:posOffset>6195059</wp:posOffset>
          </wp:positionH>
          <wp:positionV relativeFrom="page">
            <wp:posOffset>177799</wp:posOffset>
          </wp:positionV>
          <wp:extent cx="552450" cy="552450"/>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552450"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150D"/>
    <w:multiLevelType w:val="hybridMultilevel"/>
    <w:tmpl w:val="828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B95"/>
    <w:multiLevelType w:val="hybridMultilevel"/>
    <w:tmpl w:val="2EB659D6"/>
    <w:lvl w:ilvl="0" w:tplc="D6C25FC6">
      <w:start w:val="1"/>
      <w:numFmt w:val="bullet"/>
      <w:lvlText w:val="-"/>
      <w:lvlJc w:val="left"/>
      <w:pPr>
        <w:ind w:left="960" w:hanging="360"/>
      </w:pPr>
      <w:rPr>
        <w:rFonts w:ascii="Segoe UI" w:eastAsia="Segoe UI" w:hAnsi="Segoe UI" w:cs="Segoe UI" w:hint="default"/>
        <w:w w:val="100"/>
        <w:sz w:val="22"/>
        <w:szCs w:val="22"/>
      </w:rPr>
    </w:lvl>
    <w:lvl w:ilvl="1" w:tplc="C8FE2BD6">
      <w:start w:val="1"/>
      <w:numFmt w:val="bullet"/>
      <w:lvlText w:val="•"/>
      <w:lvlJc w:val="left"/>
      <w:pPr>
        <w:ind w:left="1816" w:hanging="360"/>
      </w:pPr>
      <w:rPr>
        <w:rFonts w:hint="default"/>
      </w:rPr>
    </w:lvl>
    <w:lvl w:ilvl="2" w:tplc="3CC6F30A">
      <w:start w:val="1"/>
      <w:numFmt w:val="bullet"/>
      <w:lvlText w:val="•"/>
      <w:lvlJc w:val="left"/>
      <w:pPr>
        <w:ind w:left="2673" w:hanging="360"/>
      </w:pPr>
      <w:rPr>
        <w:rFonts w:hint="default"/>
      </w:rPr>
    </w:lvl>
    <w:lvl w:ilvl="3" w:tplc="768E8468">
      <w:start w:val="1"/>
      <w:numFmt w:val="bullet"/>
      <w:lvlText w:val="•"/>
      <w:lvlJc w:val="left"/>
      <w:pPr>
        <w:ind w:left="3529" w:hanging="360"/>
      </w:pPr>
      <w:rPr>
        <w:rFonts w:hint="default"/>
      </w:rPr>
    </w:lvl>
    <w:lvl w:ilvl="4" w:tplc="F994465E">
      <w:start w:val="1"/>
      <w:numFmt w:val="bullet"/>
      <w:lvlText w:val="•"/>
      <w:lvlJc w:val="left"/>
      <w:pPr>
        <w:ind w:left="4386" w:hanging="360"/>
      </w:pPr>
      <w:rPr>
        <w:rFonts w:hint="default"/>
      </w:rPr>
    </w:lvl>
    <w:lvl w:ilvl="5" w:tplc="D13204BC">
      <w:start w:val="1"/>
      <w:numFmt w:val="bullet"/>
      <w:lvlText w:val="•"/>
      <w:lvlJc w:val="left"/>
      <w:pPr>
        <w:ind w:left="5243" w:hanging="360"/>
      </w:pPr>
      <w:rPr>
        <w:rFonts w:hint="default"/>
      </w:rPr>
    </w:lvl>
    <w:lvl w:ilvl="6" w:tplc="F350EA8C">
      <w:start w:val="1"/>
      <w:numFmt w:val="bullet"/>
      <w:lvlText w:val="•"/>
      <w:lvlJc w:val="left"/>
      <w:pPr>
        <w:ind w:left="6099" w:hanging="360"/>
      </w:pPr>
      <w:rPr>
        <w:rFonts w:hint="default"/>
      </w:rPr>
    </w:lvl>
    <w:lvl w:ilvl="7" w:tplc="8D2E9578">
      <w:start w:val="1"/>
      <w:numFmt w:val="bullet"/>
      <w:lvlText w:val="•"/>
      <w:lvlJc w:val="left"/>
      <w:pPr>
        <w:ind w:left="6956" w:hanging="360"/>
      </w:pPr>
      <w:rPr>
        <w:rFonts w:hint="default"/>
      </w:rPr>
    </w:lvl>
    <w:lvl w:ilvl="8" w:tplc="8020D448">
      <w:start w:val="1"/>
      <w:numFmt w:val="bullet"/>
      <w:lvlText w:val="•"/>
      <w:lvlJc w:val="left"/>
      <w:pPr>
        <w:ind w:left="7813" w:hanging="360"/>
      </w:pPr>
      <w:rPr>
        <w:rFonts w:hint="default"/>
      </w:rPr>
    </w:lvl>
  </w:abstractNum>
  <w:abstractNum w:abstractNumId="2" w15:restartNumberingAfterBreak="0">
    <w:nsid w:val="1E6B22B8"/>
    <w:multiLevelType w:val="hybridMultilevel"/>
    <w:tmpl w:val="26A885E8"/>
    <w:lvl w:ilvl="0" w:tplc="BBF436A6">
      <w:start w:val="1"/>
      <w:numFmt w:val="bullet"/>
      <w:lvlText w:val=""/>
      <w:lvlJc w:val="left"/>
      <w:pPr>
        <w:ind w:left="960" w:hanging="360"/>
      </w:pPr>
      <w:rPr>
        <w:rFonts w:ascii="Symbol" w:eastAsia="Symbol" w:hAnsi="Symbol" w:cs="Symbol" w:hint="default"/>
        <w:w w:val="100"/>
      </w:rPr>
    </w:lvl>
    <w:lvl w:ilvl="1" w:tplc="CEFC2D06">
      <w:start w:val="1"/>
      <w:numFmt w:val="bullet"/>
      <w:lvlText w:val="o"/>
      <w:lvlJc w:val="left"/>
      <w:pPr>
        <w:ind w:left="1680" w:hanging="360"/>
      </w:pPr>
      <w:rPr>
        <w:rFonts w:ascii="Courier New" w:eastAsia="Courier New" w:hAnsi="Courier New" w:cs="Courier New" w:hint="default"/>
        <w:w w:val="100"/>
        <w:sz w:val="24"/>
        <w:szCs w:val="24"/>
      </w:rPr>
    </w:lvl>
    <w:lvl w:ilvl="2" w:tplc="BC56A234">
      <w:start w:val="1"/>
      <w:numFmt w:val="bullet"/>
      <w:lvlText w:val="•"/>
      <w:lvlJc w:val="left"/>
      <w:pPr>
        <w:ind w:left="2551" w:hanging="360"/>
      </w:pPr>
      <w:rPr>
        <w:rFonts w:hint="default"/>
      </w:rPr>
    </w:lvl>
    <w:lvl w:ilvl="3" w:tplc="3FFAB368">
      <w:start w:val="1"/>
      <w:numFmt w:val="bullet"/>
      <w:lvlText w:val="•"/>
      <w:lvlJc w:val="left"/>
      <w:pPr>
        <w:ind w:left="3423" w:hanging="360"/>
      </w:pPr>
      <w:rPr>
        <w:rFonts w:hint="default"/>
      </w:rPr>
    </w:lvl>
    <w:lvl w:ilvl="4" w:tplc="3A600630">
      <w:start w:val="1"/>
      <w:numFmt w:val="bullet"/>
      <w:lvlText w:val="•"/>
      <w:lvlJc w:val="left"/>
      <w:pPr>
        <w:ind w:left="4295" w:hanging="360"/>
      </w:pPr>
      <w:rPr>
        <w:rFonts w:hint="default"/>
      </w:rPr>
    </w:lvl>
    <w:lvl w:ilvl="5" w:tplc="D2FCABFE">
      <w:start w:val="1"/>
      <w:numFmt w:val="bullet"/>
      <w:lvlText w:val="•"/>
      <w:lvlJc w:val="left"/>
      <w:pPr>
        <w:ind w:left="5167" w:hanging="360"/>
      </w:pPr>
      <w:rPr>
        <w:rFonts w:hint="default"/>
      </w:rPr>
    </w:lvl>
    <w:lvl w:ilvl="6" w:tplc="DD3AA254">
      <w:start w:val="1"/>
      <w:numFmt w:val="bullet"/>
      <w:lvlText w:val="•"/>
      <w:lvlJc w:val="left"/>
      <w:pPr>
        <w:ind w:left="6039" w:hanging="360"/>
      </w:pPr>
      <w:rPr>
        <w:rFonts w:hint="default"/>
      </w:rPr>
    </w:lvl>
    <w:lvl w:ilvl="7" w:tplc="00D0689C">
      <w:start w:val="1"/>
      <w:numFmt w:val="bullet"/>
      <w:lvlText w:val="•"/>
      <w:lvlJc w:val="left"/>
      <w:pPr>
        <w:ind w:left="6910" w:hanging="360"/>
      </w:pPr>
      <w:rPr>
        <w:rFonts w:hint="default"/>
      </w:rPr>
    </w:lvl>
    <w:lvl w:ilvl="8" w:tplc="B2700488">
      <w:start w:val="1"/>
      <w:numFmt w:val="bullet"/>
      <w:lvlText w:val="•"/>
      <w:lvlJc w:val="left"/>
      <w:pPr>
        <w:ind w:left="7782" w:hanging="360"/>
      </w:pPr>
      <w:rPr>
        <w:rFonts w:hint="default"/>
      </w:rPr>
    </w:lvl>
  </w:abstractNum>
  <w:abstractNum w:abstractNumId="3" w15:restartNumberingAfterBreak="0">
    <w:nsid w:val="2ECA4757"/>
    <w:multiLevelType w:val="hybridMultilevel"/>
    <w:tmpl w:val="1C88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14985"/>
    <w:multiLevelType w:val="hybridMultilevel"/>
    <w:tmpl w:val="5A6C6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F6EF4"/>
    <w:multiLevelType w:val="hybridMultilevel"/>
    <w:tmpl w:val="AFE43C96"/>
    <w:lvl w:ilvl="0" w:tplc="F68043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F753C"/>
    <w:multiLevelType w:val="hybridMultilevel"/>
    <w:tmpl w:val="A9AEF072"/>
    <w:lvl w:ilvl="0" w:tplc="C9AC65A4">
      <w:start w:val="1"/>
      <w:numFmt w:val="bullet"/>
      <w:lvlText w:val="-"/>
      <w:lvlJc w:val="left"/>
      <w:pPr>
        <w:ind w:left="960" w:hanging="360"/>
      </w:pPr>
      <w:rPr>
        <w:rFonts w:ascii="Calibri" w:eastAsia="Calibri" w:hAnsi="Calibri" w:cs="Calibri" w:hint="default"/>
        <w:w w:val="100"/>
        <w:sz w:val="22"/>
        <w:szCs w:val="22"/>
      </w:rPr>
    </w:lvl>
    <w:lvl w:ilvl="1" w:tplc="D166D2F4">
      <w:start w:val="1"/>
      <w:numFmt w:val="bullet"/>
      <w:lvlText w:val="•"/>
      <w:lvlJc w:val="left"/>
      <w:pPr>
        <w:ind w:left="1816" w:hanging="360"/>
      </w:pPr>
      <w:rPr>
        <w:rFonts w:hint="default"/>
      </w:rPr>
    </w:lvl>
    <w:lvl w:ilvl="2" w:tplc="540CBC58">
      <w:start w:val="1"/>
      <w:numFmt w:val="bullet"/>
      <w:lvlText w:val="•"/>
      <w:lvlJc w:val="left"/>
      <w:pPr>
        <w:ind w:left="2673" w:hanging="360"/>
      </w:pPr>
      <w:rPr>
        <w:rFonts w:hint="default"/>
      </w:rPr>
    </w:lvl>
    <w:lvl w:ilvl="3" w:tplc="F170D852">
      <w:start w:val="1"/>
      <w:numFmt w:val="bullet"/>
      <w:lvlText w:val="•"/>
      <w:lvlJc w:val="left"/>
      <w:pPr>
        <w:ind w:left="3529" w:hanging="360"/>
      </w:pPr>
      <w:rPr>
        <w:rFonts w:hint="default"/>
      </w:rPr>
    </w:lvl>
    <w:lvl w:ilvl="4" w:tplc="422ABBF6">
      <w:start w:val="1"/>
      <w:numFmt w:val="bullet"/>
      <w:lvlText w:val="•"/>
      <w:lvlJc w:val="left"/>
      <w:pPr>
        <w:ind w:left="4386" w:hanging="360"/>
      </w:pPr>
      <w:rPr>
        <w:rFonts w:hint="default"/>
      </w:rPr>
    </w:lvl>
    <w:lvl w:ilvl="5" w:tplc="6BC01390">
      <w:start w:val="1"/>
      <w:numFmt w:val="bullet"/>
      <w:lvlText w:val="•"/>
      <w:lvlJc w:val="left"/>
      <w:pPr>
        <w:ind w:left="5243" w:hanging="360"/>
      </w:pPr>
      <w:rPr>
        <w:rFonts w:hint="default"/>
      </w:rPr>
    </w:lvl>
    <w:lvl w:ilvl="6" w:tplc="C0B2DDC2">
      <w:start w:val="1"/>
      <w:numFmt w:val="bullet"/>
      <w:lvlText w:val="•"/>
      <w:lvlJc w:val="left"/>
      <w:pPr>
        <w:ind w:left="6099" w:hanging="360"/>
      </w:pPr>
      <w:rPr>
        <w:rFonts w:hint="default"/>
      </w:rPr>
    </w:lvl>
    <w:lvl w:ilvl="7" w:tplc="FA34477E">
      <w:start w:val="1"/>
      <w:numFmt w:val="bullet"/>
      <w:lvlText w:val="•"/>
      <w:lvlJc w:val="left"/>
      <w:pPr>
        <w:ind w:left="6956" w:hanging="360"/>
      </w:pPr>
      <w:rPr>
        <w:rFonts w:hint="default"/>
      </w:rPr>
    </w:lvl>
    <w:lvl w:ilvl="8" w:tplc="FCCA5346">
      <w:start w:val="1"/>
      <w:numFmt w:val="bullet"/>
      <w:lvlText w:val="•"/>
      <w:lvlJc w:val="left"/>
      <w:pPr>
        <w:ind w:left="7813" w:hanging="360"/>
      </w:pPr>
      <w:rPr>
        <w:rFonts w:hint="default"/>
      </w:rPr>
    </w:lvl>
  </w:abstractNum>
  <w:abstractNum w:abstractNumId="7" w15:restartNumberingAfterBreak="0">
    <w:nsid w:val="42E05297"/>
    <w:multiLevelType w:val="hybridMultilevel"/>
    <w:tmpl w:val="F26CC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941FB"/>
    <w:multiLevelType w:val="hybridMultilevel"/>
    <w:tmpl w:val="5A6C6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F766B"/>
    <w:multiLevelType w:val="hybridMultilevel"/>
    <w:tmpl w:val="D5D4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F0078"/>
    <w:multiLevelType w:val="hybridMultilevel"/>
    <w:tmpl w:val="6DFE4442"/>
    <w:lvl w:ilvl="0" w:tplc="6ADC1BF8">
      <w:start w:val="1"/>
      <w:numFmt w:val="bullet"/>
      <w:lvlText w:val="-"/>
      <w:lvlJc w:val="left"/>
      <w:pPr>
        <w:ind w:left="360" w:hanging="360"/>
      </w:pPr>
      <w:rPr>
        <w:rFonts w:ascii="Times New Roman" w:eastAsia="Calibri,Times New Roman,MS Minc"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9C73E8"/>
    <w:multiLevelType w:val="hybridMultilevel"/>
    <w:tmpl w:val="ABF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71C3F"/>
    <w:multiLevelType w:val="hybridMultilevel"/>
    <w:tmpl w:val="BA3AC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EC6649"/>
    <w:multiLevelType w:val="hybridMultilevel"/>
    <w:tmpl w:val="5F90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0172B"/>
    <w:multiLevelType w:val="hybridMultilevel"/>
    <w:tmpl w:val="054EE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CC2F7E"/>
    <w:multiLevelType w:val="hybridMultilevel"/>
    <w:tmpl w:val="7A4C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C0B85"/>
    <w:multiLevelType w:val="hybridMultilevel"/>
    <w:tmpl w:val="F26CC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8"/>
  </w:num>
  <w:num w:numId="5">
    <w:abstractNumId w:val="3"/>
  </w:num>
  <w:num w:numId="6">
    <w:abstractNumId w:val="15"/>
  </w:num>
  <w:num w:numId="7">
    <w:abstractNumId w:val="0"/>
  </w:num>
  <w:num w:numId="8">
    <w:abstractNumId w:val="5"/>
  </w:num>
  <w:num w:numId="9">
    <w:abstractNumId w:val="13"/>
  </w:num>
  <w:num w:numId="10">
    <w:abstractNumId w:val="16"/>
  </w:num>
  <w:num w:numId="11">
    <w:abstractNumId w:val="12"/>
  </w:num>
  <w:num w:numId="12">
    <w:abstractNumId w:val="10"/>
  </w:num>
  <w:num w:numId="13">
    <w:abstractNumId w:val="14"/>
  </w:num>
  <w:num w:numId="14">
    <w:abstractNumId w:val="11"/>
  </w:num>
  <w:num w:numId="15">
    <w:abstractNumId w:val="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16C"/>
    <w:rsid w:val="000163AB"/>
    <w:rsid w:val="000555AD"/>
    <w:rsid w:val="00074DA4"/>
    <w:rsid w:val="0008688E"/>
    <w:rsid w:val="000B6843"/>
    <w:rsid w:val="000C73AF"/>
    <w:rsid w:val="00106301"/>
    <w:rsid w:val="00126E5B"/>
    <w:rsid w:val="00134E83"/>
    <w:rsid w:val="00137A1D"/>
    <w:rsid w:val="001812BF"/>
    <w:rsid w:val="001875F5"/>
    <w:rsid w:val="001B1BBD"/>
    <w:rsid w:val="001B5DA4"/>
    <w:rsid w:val="001D5484"/>
    <w:rsid w:val="0021512B"/>
    <w:rsid w:val="00255A25"/>
    <w:rsid w:val="002D046D"/>
    <w:rsid w:val="002E728A"/>
    <w:rsid w:val="002F3CE7"/>
    <w:rsid w:val="00312697"/>
    <w:rsid w:val="0037313F"/>
    <w:rsid w:val="003C23E4"/>
    <w:rsid w:val="00415906"/>
    <w:rsid w:val="00435219"/>
    <w:rsid w:val="004448E8"/>
    <w:rsid w:val="00454CA8"/>
    <w:rsid w:val="004E2E9E"/>
    <w:rsid w:val="004F5EAE"/>
    <w:rsid w:val="005108AF"/>
    <w:rsid w:val="0054087F"/>
    <w:rsid w:val="005431ED"/>
    <w:rsid w:val="0057598F"/>
    <w:rsid w:val="005C191D"/>
    <w:rsid w:val="005D616B"/>
    <w:rsid w:val="005E2BF3"/>
    <w:rsid w:val="006111CC"/>
    <w:rsid w:val="00630D18"/>
    <w:rsid w:val="00637861"/>
    <w:rsid w:val="00685B74"/>
    <w:rsid w:val="006D0BD8"/>
    <w:rsid w:val="00736A2F"/>
    <w:rsid w:val="007741F3"/>
    <w:rsid w:val="007F4CAC"/>
    <w:rsid w:val="00805DF9"/>
    <w:rsid w:val="008205C3"/>
    <w:rsid w:val="00820733"/>
    <w:rsid w:val="008223AD"/>
    <w:rsid w:val="00836803"/>
    <w:rsid w:val="00846377"/>
    <w:rsid w:val="0085750E"/>
    <w:rsid w:val="0087006F"/>
    <w:rsid w:val="00882437"/>
    <w:rsid w:val="00883845"/>
    <w:rsid w:val="0088743F"/>
    <w:rsid w:val="0090067D"/>
    <w:rsid w:val="0094436D"/>
    <w:rsid w:val="0095135F"/>
    <w:rsid w:val="009862F7"/>
    <w:rsid w:val="009E1B57"/>
    <w:rsid w:val="009E7BA8"/>
    <w:rsid w:val="00A07768"/>
    <w:rsid w:val="00A34615"/>
    <w:rsid w:val="00A56971"/>
    <w:rsid w:val="00A65A48"/>
    <w:rsid w:val="00AB7E88"/>
    <w:rsid w:val="00B3660F"/>
    <w:rsid w:val="00B4604B"/>
    <w:rsid w:val="00B4616B"/>
    <w:rsid w:val="00B46253"/>
    <w:rsid w:val="00B4726B"/>
    <w:rsid w:val="00B66A3D"/>
    <w:rsid w:val="00B74F98"/>
    <w:rsid w:val="00B96C34"/>
    <w:rsid w:val="00BA3486"/>
    <w:rsid w:val="00BA6474"/>
    <w:rsid w:val="00BA6570"/>
    <w:rsid w:val="00C16A0C"/>
    <w:rsid w:val="00C16A2F"/>
    <w:rsid w:val="00C212D8"/>
    <w:rsid w:val="00C27909"/>
    <w:rsid w:val="00C41BD6"/>
    <w:rsid w:val="00C7719F"/>
    <w:rsid w:val="00C946D7"/>
    <w:rsid w:val="00CA4154"/>
    <w:rsid w:val="00CB1194"/>
    <w:rsid w:val="00D20CDF"/>
    <w:rsid w:val="00D22385"/>
    <w:rsid w:val="00D36553"/>
    <w:rsid w:val="00D45590"/>
    <w:rsid w:val="00D54D10"/>
    <w:rsid w:val="00D92B4D"/>
    <w:rsid w:val="00D92D55"/>
    <w:rsid w:val="00DA0A8E"/>
    <w:rsid w:val="00DD2FC5"/>
    <w:rsid w:val="00DF2F32"/>
    <w:rsid w:val="00DF55FD"/>
    <w:rsid w:val="00E11421"/>
    <w:rsid w:val="00E45FBE"/>
    <w:rsid w:val="00E64894"/>
    <w:rsid w:val="00EA5CA2"/>
    <w:rsid w:val="00EE53A6"/>
    <w:rsid w:val="00F243DB"/>
    <w:rsid w:val="00F6430F"/>
    <w:rsid w:val="00F76692"/>
    <w:rsid w:val="00F76777"/>
    <w:rsid w:val="00FE616C"/>
    <w:rsid w:val="00FF0A0F"/>
    <w:rsid w:val="00FF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4DE7BE9"/>
  <w15:docId w15:val="{B92E46AD-21EA-4771-AF5F-A477260D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6C"/>
    <w:pPr>
      <w:spacing w:after="0" w:line="240" w:lineRule="auto"/>
    </w:pPr>
    <w:rPr>
      <w:rFonts w:ascii="Calibri" w:hAnsi="Calibri" w:cs="Calibri"/>
    </w:rPr>
  </w:style>
  <w:style w:type="paragraph" w:styleId="Heading1">
    <w:name w:val="heading 1"/>
    <w:basedOn w:val="Normal"/>
    <w:next w:val="Normal"/>
    <w:link w:val="Heading1Char"/>
    <w:uiPriority w:val="1"/>
    <w:qFormat/>
    <w:rsid w:val="001B5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1875F5"/>
    <w:pPr>
      <w:widowControl w:val="0"/>
      <w:ind w:left="240"/>
      <w:outlineLvl w:val="1"/>
    </w:pPr>
    <w:rPr>
      <w:rFonts w:ascii="Calibri Light" w:eastAsia="Calibri Light" w:hAnsi="Calibri Light" w:cs="Calibri Light"/>
      <w:sz w:val="32"/>
      <w:szCs w:val="32"/>
      <w:lang w:val="en-US"/>
    </w:rPr>
  </w:style>
  <w:style w:type="paragraph" w:styleId="Heading3">
    <w:name w:val="heading 3"/>
    <w:basedOn w:val="Normal"/>
    <w:link w:val="Heading3Char"/>
    <w:uiPriority w:val="1"/>
    <w:qFormat/>
    <w:rsid w:val="001875F5"/>
    <w:pPr>
      <w:widowControl w:val="0"/>
      <w:spacing w:before="183"/>
      <w:ind w:left="240"/>
      <w:outlineLvl w:val="2"/>
    </w:pPr>
    <w:rPr>
      <w:rFonts w:ascii="Calibri Light" w:eastAsia="Calibri Light" w:hAnsi="Calibri Light" w:cs="Calibri Light"/>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4CAC"/>
    <w:pPr>
      <w:ind w:left="720"/>
      <w:contextualSpacing/>
    </w:pPr>
  </w:style>
  <w:style w:type="character" w:customStyle="1" w:styleId="Heading1Char">
    <w:name w:val="Heading 1 Char"/>
    <w:basedOn w:val="DefaultParagraphFont"/>
    <w:link w:val="Heading1"/>
    <w:uiPriority w:val="9"/>
    <w:rsid w:val="001B5DA4"/>
    <w:rPr>
      <w:rFonts w:asciiTheme="majorHAnsi" w:eastAsiaTheme="majorEastAsia" w:hAnsiTheme="majorHAnsi" w:cstheme="majorBidi"/>
      <w:color w:val="2F5496" w:themeColor="accent1" w:themeShade="BF"/>
      <w:sz w:val="32"/>
      <w:szCs w:val="32"/>
    </w:rPr>
  </w:style>
  <w:style w:type="paragraph" w:customStyle="1" w:styleId="Default">
    <w:name w:val="Default"/>
    <w:rsid w:val="00EA5CA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C73AF"/>
    <w:rPr>
      <w:sz w:val="16"/>
      <w:szCs w:val="16"/>
    </w:rPr>
  </w:style>
  <w:style w:type="paragraph" w:styleId="CommentText">
    <w:name w:val="annotation text"/>
    <w:basedOn w:val="Normal"/>
    <w:link w:val="CommentTextChar"/>
    <w:uiPriority w:val="99"/>
    <w:semiHidden/>
    <w:unhideWhenUsed/>
    <w:rsid w:val="000C73AF"/>
    <w:rPr>
      <w:sz w:val="20"/>
      <w:szCs w:val="20"/>
    </w:rPr>
  </w:style>
  <w:style w:type="character" w:customStyle="1" w:styleId="CommentTextChar">
    <w:name w:val="Comment Text Char"/>
    <w:basedOn w:val="DefaultParagraphFont"/>
    <w:link w:val="CommentText"/>
    <w:uiPriority w:val="99"/>
    <w:semiHidden/>
    <w:rsid w:val="000C73A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73AF"/>
    <w:rPr>
      <w:b/>
      <w:bCs/>
    </w:rPr>
  </w:style>
  <w:style w:type="character" w:customStyle="1" w:styleId="CommentSubjectChar">
    <w:name w:val="Comment Subject Char"/>
    <w:basedOn w:val="CommentTextChar"/>
    <w:link w:val="CommentSubject"/>
    <w:uiPriority w:val="99"/>
    <w:semiHidden/>
    <w:rsid w:val="000C73AF"/>
    <w:rPr>
      <w:rFonts w:ascii="Calibri" w:hAnsi="Calibri" w:cs="Calibri"/>
      <w:b/>
      <w:bCs/>
      <w:sz w:val="20"/>
      <w:szCs w:val="20"/>
    </w:rPr>
  </w:style>
  <w:style w:type="paragraph" w:styleId="BalloonText">
    <w:name w:val="Balloon Text"/>
    <w:basedOn w:val="Normal"/>
    <w:link w:val="BalloonTextChar"/>
    <w:uiPriority w:val="99"/>
    <w:semiHidden/>
    <w:unhideWhenUsed/>
    <w:rsid w:val="000C7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3AF"/>
    <w:rPr>
      <w:rFonts w:ascii="Segoe UI" w:hAnsi="Segoe UI" w:cs="Segoe UI"/>
      <w:sz w:val="18"/>
      <w:szCs w:val="18"/>
    </w:rPr>
  </w:style>
  <w:style w:type="table" w:styleId="TableGrid">
    <w:name w:val="Table Grid"/>
    <w:basedOn w:val="TableNormal"/>
    <w:uiPriority w:val="39"/>
    <w:rsid w:val="0088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6777"/>
    <w:rPr>
      <w:sz w:val="20"/>
      <w:szCs w:val="20"/>
    </w:rPr>
  </w:style>
  <w:style w:type="character" w:customStyle="1" w:styleId="FootnoteTextChar">
    <w:name w:val="Footnote Text Char"/>
    <w:basedOn w:val="DefaultParagraphFont"/>
    <w:link w:val="FootnoteText"/>
    <w:uiPriority w:val="99"/>
    <w:semiHidden/>
    <w:rsid w:val="00F76777"/>
    <w:rPr>
      <w:rFonts w:ascii="Calibri" w:hAnsi="Calibri" w:cs="Calibri"/>
      <w:sz w:val="20"/>
      <w:szCs w:val="20"/>
    </w:rPr>
  </w:style>
  <w:style w:type="character" w:styleId="FootnoteReference">
    <w:name w:val="footnote reference"/>
    <w:basedOn w:val="DefaultParagraphFont"/>
    <w:uiPriority w:val="99"/>
    <w:semiHidden/>
    <w:unhideWhenUsed/>
    <w:rsid w:val="00F76777"/>
    <w:rPr>
      <w:vertAlign w:val="superscript"/>
    </w:rPr>
  </w:style>
  <w:style w:type="paragraph" w:styleId="Header">
    <w:name w:val="header"/>
    <w:basedOn w:val="Normal"/>
    <w:link w:val="HeaderChar"/>
    <w:uiPriority w:val="99"/>
    <w:unhideWhenUsed/>
    <w:rsid w:val="00DF55FD"/>
    <w:pPr>
      <w:tabs>
        <w:tab w:val="center" w:pos="4513"/>
        <w:tab w:val="right" w:pos="9026"/>
      </w:tabs>
    </w:pPr>
  </w:style>
  <w:style w:type="character" w:customStyle="1" w:styleId="HeaderChar">
    <w:name w:val="Header Char"/>
    <w:basedOn w:val="DefaultParagraphFont"/>
    <w:link w:val="Header"/>
    <w:uiPriority w:val="99"/>
    <w:rsid w:val="00DF55FD"/>
    <w:rPr>
      <w:rFonts w:ascii="Calibri" w:hAnsi="Calibri" w:cs="Calibri"/>
    </w:rPr>
  </w:style>
  <w:style w:type="paragraph" w:styleId="Footer">
    <w:name w:val="footer"/>
    <w:basedOn w:val="Normal"/>
    <w:link w:val="FooterChar"/>
    <w:uiPriority w:val="99"/>
    <w:unhideWhenUsed/>
    <w:rsid w:val="00DF55FD"/>
    <w:pPr>
      <w:tabs>
        <w:tab w:val="center" w:pos="4513"/>
        <w:tab w:val="right" w:pos="9026"/>
      </w:tabs>
    </w:pPr>
  </w:style>
  <w:style w:type="character" w:customStyle="1" w:styleId="FooterChar">
    <w:name w:val="Footer Char"/>
    <w:basedOn w:val="DefaultParagraphFont"/>
    <w:link w:val="Footer"/>
    <w:uiPriority w:val="99"/>
    <w:rsid w:val="00DF55FD"/>
    <w:rPr>
      <w:rFonts w:ascii="Calibri" w:hAnsi="Calibri" w:cs="Calibri"/>
    </w:rPr>
  </w:style>
  <w:style w:type="character" w:customStyle="1" w:styleId="Heading2Char">
    <w:name w:val="Heading 2 Char"/>
    <w:basedOn w:val="DefaultParagraphFont"/>
    <w:link w:val="Heading2"/>
    <w:uiPriority w:val="1"/>
    <w:rsid w:val="001875F5"/>
    <w:rPr>
      <w:rFonts w:ascii="Calibri Light" w:eastAsia="Calibri Light" w:hAnsi="Calibri Light" w:cs="Calibri Light"/>
      <w:sz w:val="32"/>
      <w:szCs w:val="32"/>
      <w:lang w:val="en-US"/>
    </w:rPr>
  </w:style>
  <w:style w:type="character" w:customStyle="1" w:styleId="Heading3Char">
    <w:name w:val="Heading 3 Char"/>
    <w:basedOn w:val="DefaultParagraphFont"/>
    <w:link w:val="Heading3"/>
    <w:uiPriority w:val="1"/>
    <w:rsid w:val="001875F5"/>
    <w:rPr>
      <w:rFonts w:ascii="Calibri Light" w:eastAsia="Calibri Light" w:hAnsi="Calibri Light" w:cs="Calibri Light"/>
      <w:sz w:val="26"/>
      <w:szCs w:val="26"/>
      <w:lang w:val="en-US"/>
    </w:rPr>
  </w:style>
  <w:style w:type="paragraph" w:styleId="BodyText">
    <w:name w:val="Body Text"/>
    <w:basedOn w:val="Normal"/>
    <w:link w:val="BodyTextChar"/>
    <w:uiPriority w:val="1"/>
    <w:qFormat/>
    <w:rsid w:val="001875F5"/>
    <w:pPr>
      <w:widowControl w:val="0"/>
      <w:ind w:left="960"/>
    </w:pPr>
    <w:rPr>
      <w:rFonts w:eastAsia="Calibri"/>
      <w:lang w:val="en-US"/>
    </w:rPr>
  </w:style>
  <w:style w:type="character" w:customStyle="1" w:styleId="BodyTextChar">
    <w:name w:val="Body Text Char"/>
    <w:basedOn w:val="DefaultParagraphFont"/>
    <w:link w:val="BodyText"/>
    <w:uiPriority w:val="1"/>
    <w:rsid w:val="001875F5"/>
    <w:rPr>
      <w:rFonts w:ascii="Calibri" w:eastAsia="Calibri" w:hAnsi="Calibri" w:cs="Calibri"/>
      <w:lang w:val="en-US"/>
    </w:rPr>
  </w:style>
  <w:style w:type="paragraph" w:customStyle="1" w:styleId="TableParagraph">
    <w:name w:val="Table Paragraph"/>
    <w:basedOn w:val="Normal"/>
    <w:uiPriority w:val="1"/>
    <w:qFormat/>
    <w:rsid w:val="001875F5"/>
    <w:pPr>
      <w:widowControl w:val="0"/>
      <w:spacing w:line="265" w:lineRule="exact"/>
      <w:ind w:left="103"/>
    </w:pPr>
    <w:rPr>
      <w:rFonts w:eastAsia="Calibri"/>
      <w:lang w:val="en-US"/>
    </w:rPr>
  </w:style>
  <w:style w:type="paragraph" w:styleId="NoSpacing">
    <w:name w:val="No Spacing"/>
    <w:link w:val="NoSpacingChar"/>
    <w:uiPriority w:val="1"/>
    <w:qFormat/>
    <w:rsid w:val="00B472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726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2196">
      <w:bodyDiv w:val="1"/>
      <w:marLeft w:val="0"/>
      <w:marRight w:val="0"/>
      <w:marTop w:val="0"/>
      <w:marBottom w:val="0"/>
      <w:divBdr>
        <w:top w:val="none" w:sz="0" w:space="0" w:color="auto"/>
        <w:left w:val="none" w:sz="0" w:space="0" w:color="auto"/>
        <w:bottom w:val="none" w:sz="0" w:space="0" w:color="auto"/>
        <w:right w:val="none" w:sz="0" w:space="0" w:color="auto"/>
      </w:divBdr>
    </w:div>
    <w:div w:id="332031254">
      <w:bodyDiv w:val="1"/>
      <w:marLeft w:val="0"/>
      <w:marRight w:val="0"/>
      <w:marTop w:val="0"/>
      <w:marBottom w:val="0"/>
      <w:divBdr>
        <w:top w:val="none" w:sz="0" w:space="0" w:color="auto"/>
        <w:left w:val="none" w:sz="0" w:space="0" w:color="auto"/>
        <w:bottom w:val="none" w:sz="0" w:space="0" w:color="auto"/>
        <w:right w:val="none" w:sz="0" w:space="0" w:color="auto"/>
      </w:divBdr>
    </w:div>
    <w:div w:id="404374389">
      <w:bodyDiv w:val="1"/>
      <w:marLeft w:val="0"/>
      <w:marRight w:val="0"/>
      <w:marTop w:val="0"/>
      <w:marBottom w:val="0"/>
      <w:divBdr>
        <w:top w:val="none" w:sz="0" w:space="0" w:color="auto"/>
        <w:left w:val="none" w:sz="0" w:space="0" w:color="auto"/>
        <w:bottom w:val="none" w:sz="0" w:space="0" w:color="auto"/>
        <w:right w:val="none" w:sz="0" w:space="0" w:color="auto"/>
      </w:divBdr>
    </w:div>
    <w:div w:id="461264566">
      <w:bodyDiv w:val="1"/>
      <w:marLeft w:val="0"/>
      <w:marRight w:val="0"/>
      <w:marTop w:val="0"/>
      <w:marBottom w:val="0"/>
      <w:divBdr>
        <w:top w:val="none" w:sz="0" w:space="0" w:color="auto"/>
        <w:left w:val="none" w:sz="0" w:space="0" w:color="auto"/>
        <w:bottom w:val="none" w:sz="0" w:space="0" w:color="auto"/>
        <w:right w:val="none" w:sz="0" w:space="0" w:color="auto"/>
      </w:divBdr>
    </w:div>
    <w:div w:id="576744387">
      <w:bodyDiv w:val="1"/>
      <w:marLeft w:val="0"/>
      <w:marRight w:val="0"/>
      <w:marTop w:val="0"/>
      <w:marBottom w:val="0"/>
      <w:divBdr>
        <w:top w:val="none" w:sz="0" w:space="0" w:color="auto"/>
        <w:left w:val="none" w:sz="0" w:space="0" w:color="auto"/>
        <w:bottom w:val="none" w:sz="0" w:space="0" w:color="auto"/>
        <w:right w:val="none" w:sz="0" w:space="0" w:color="auto"/>
      </w:divBdr>
    </w:div>
    <w:div w:id="623922378">
      <w:bodyDiv w:val="1"/>
      <w:marLeft w:val="0"/>
      <w:marRight w:val="0"/>
      <w:marTop w:val="0"/>
      <w:marBottom w:val="0"/>
      <w:divBdr>
        <w:top w:val="none" w:sz="0" w:space="0" w:color="auto"/>
        <w:left w:val="none" w:sz="0" w:space="0" w:color="auto"/>
        <w:bottom w:val="none" w:sz="0" w:space="0" w:color="auto"/>
        <w:right w:val="none" w:sz="0" w:space="0" w:color="auto"/>
      </w:divBdr>
    </w:div>
    <w:div w:id="626007896">
      <w:bodyDiv w:val="1"/>
      <w:marLeft w:val="0"/>
      <w:marRight w:val="0"/>
      <w:marTop w:val="0"/>
      <w:marBottom w:val="0"/>
      <w:divBdr>
        <w:top w:val="none" w:sz="0" w:space="0" w:color="auto"/>
        <w:left w:val="none" w:sz="0" w:space="0" w:color="auto"/>
        <w:bottom w:val="none" w:sz="0" w:space="0" w:color="auto"/>
        <w:right w:val="none" w:sz="0" w:space="0" w:color="auto"/>
      </w:divBdr>
    </w:div>
    <w:div w:id="847254269">
      <w:bodyDiv w:val="1"/>
      <w:marLeft w:val="0"/>
      <w:marRight w:val="0"/>
      <w:marTop w:val="0"/>
      <w:marBottom w:val="0"/>
      <w:divBdr>
        <w:top w:val="none" w:sz="0" w:space="0" w:color="auto"/>
        <w:left w:val="none" w:sz="0" w:space="0" w:color="auto"/>
        <w:bottom w:val="none" w:sz="0" w:space="0" w:color="auto"/>
        <w:right w:val="none" w:sz="0" w:space="0" w:color="auto"/>
      </w:divBdr>
    </w:div>
    <w:div w:id="1236933230">
      <w:bodyDiv w:val="1"/>
      <w:marLeft w:val="0"/>
      <w:marRight w:val="0"/>
      <w:marTop w:val="0"/>
      <w:marBottom w:val="0"/>
      <w:divBdr>
        <w:top w:val="none" w:sz="0" w:space="0" w:color="auto"/>
        <w:left w:val="none" w:sz="0" w:space="0" w:color="auto"/>
        <w:bottom w:val="none" w:sz="0" w:space="0" w:color="auto"/>
        <w:right w:val="none" w:sz="0" w:space="0" w:color="auto"/>
      </w:divBdr>
    </w:div>
    <w:div w:id="18283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portofantwerp.com/en/news/port-seeks-double-rail-volume-railport-antwerp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portofantwerp.com/en/news/port-seeks-double-rail-volume-railport-antwerpe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59D7-8C3B-480D-AA11-E08A5EC3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4627</Words>
  <Characters>31329</Characters>
  <Application>Microsoft Office Word</Application>
  <DocSecurity>0</DocSecurity>
  <Lines>513</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Steve</dc:creator>
  <cp:lastModifiedBy>Cottrill, Caitlin Doyle</cp:lastModifiedBy>
  <cp:revision>2</cp:revision>
  <dcterms:created xsi:type="dcterms:W3CDTF">2020-09-28T12:32:00Z</dcterms:created>
  <dcterms:modified xsi:type="dcterms:W3CDTF">2020-09-28T12:32:00Z</dcterms:modified>
</cp:coreProperties>
</file>